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AC084" w14:textId="0B9AA6E2" w:rsidR="00EE797D" w:rsidRDefault="00C0373C">
      <w:pPr>
        <w:rPr>
          <w:rFonts w:ascii="Times New Roman" w:eastAsia="Times New Roman" w:hAnsi="Times New Roman" w:cs="Times New Roman"/>
          <w:b/>
          <w:sz w:val="20"/>
          <w:szCs w:val="20"/>
          <w:lang w:eastAsia="en-GB"/>
        </w:rPr>
      </w:pPr>
      <w:r>
        <w:rPr>
          <w:rFonts w:ascii="Times New Roman" w:eastAsia="Times New Roman" w:hAnsi="Times New Roman" w:cs="Times New Roman" w:hint="eastAsia"/>
          <w:b/>
          <w:sz w:val="20"/>
          <w:szCs w:val="20"/>
          <w:lang w:eastAsia="en-GB"/>
        </w:rPr>
        <w:t xml:space="preserve">Supplementary </w:t>
      </w:r>
      <w:r>
        <w:rPr>
          <w:rFonts w:ascii="Times New Roman" w:eastAsia="Times New Roman" w:hAnsi="Times New Roman" w:cs="Times New Roman" w:hint="eastAsia"/>
          <w:b/>
          <w:sz w:val="20"/>
          <w:szCs w:val="20"/>
          <w:lang w:val="en-US" w:eastAsia="zh-CN"/>
        </w:rPr>
        <w:t>Table S</w:t>
      </w:r>
      <w:r w:rsidR="008D188A">
        <w:rPr>
          <w:rFonts w:ascii="Times New Roman" w:eastAsia="Times New Roman" w:hAnsi="Times New Roman" w:cs="Times New Roman"/>
          <w:b/>
          <w:sz w:val="20"/>
          <w:szCs w:val="20"/>
          <w:lang w:val="en-US" w:eastAsia="zh-CN"/>
        </w:rPr>
        <w:t>VI.</w:t>
      </w:r>
      <w:r>
        <w:rPr>
          <w:rFonts w:ascii="Times New Roman" w:hAnsi="Times New Roman" w:cs="Times New Roman" w:hint="eastAsia"/>
          <w:b/>
          <w:bCs/>
          <w:sz w:val="24"/>
          <w:lang w:val="en-US" w:eastAsia="zh-CN"/>
        </w:rPr>
        <w:t xml:space="preserve"> </w:t>
      </w:r>
      <w:r>
        <w:rPr>
          <w:rFonts w:ascii="Times New Roman" w:eastAsia="Times New Roman" w:hAnsi="Times New Roman" w:cs="Times New Roman"/>
          <w:b/>
          <w:sz w:val="20"/>
          <w:szCs w:val="20"/>
          <w:lang w:eastAsia="en-GB"/>
        </w:rPr>
        <w:t>STROBE-MR checklist of recommended items to address in reports of Mendelian randomization studies</w:t>
      </w:r>
      <w:r>
        <w:rPr>
          <w:rFonts w:ascii="Times New Roman" w:eastAsia="Times New Roman" w:hAnsi="Times New Roman" w:cs="Times New Roman"/>
          <w:b/>
          <w:sz w:val="20"/>
          <w:szCs w:val="20"/>
          <w:lang w:eastAsia="en-GB"/>
        </w:rPr>
        <w:fldChar w:fldCharType="begin" w:fldLock="1"/>
      </w:r>
      <w:r>
        <w:rPr>
          <w:rFonts w:ascii="Times New Roman" w:eastAsia="Times New Roman" w:hAnsi="Times New Roman" w:cs="Times New Roman"/>
          <w:b/>
          <w:sz w:val="20"/>
          <w:szCs w:val="20"/>
          <w:lang w:eastAsia="en-GB"/>
        </w:rPr>
        <w:instrText>ADDIN CSL_CITATION {"citationItems":[{"id":"ITEM-1","itemData":{"author":[{"dropping-particle":"","family":"Skrivankova","given":"V W","non-dropping-particle":"","parse-names":false,"suffix":""},{"dropping-particle":"","family":"Richmond","given":"R C","non-dropping-particle":"","parse-names":false,"suffix":""},{"dropping-particle":"","family":"Woolf","given":"B A R","non-dropping-particle":"","parse-names":false,"suffix":""},{"dropping-particle":"","family":"Yarmolinsky","given":"J","non-dropping-particle":"","parse-names":false,"suffix":""},{"dropping-particle":"","family":"Davies","given":"N M","non-dropping-particle":"","parse-names":false,"suffix":""},{"dropping-particle":"","family":"Swanson","given":"S A","non-dropping-particle":"","parse-names":false,"suffix":""},{"dropping-particle":"","family":"VanderWeele","given":"T J","non-dropping-particle":"","parse-names":false,"suffix":""},{"dropping-particle":"","family":"Higgins","given":"J P H","non-dropping-particle":"","parse-names":false,"suffix":""},{"dropping-particle":"","family":"Timpson","given":"N J","non-dropping-particle":"","parse-names":false,"suffix":""},{"dropping-particle":"","family":"Dimou","given":"N","non-dropping-particle":"","parse-names":false,"suffix":""},{"dropping-particle":"","family":"Langenberg","given":"C","non-dropping-particle":"","parse-names":false,"suffix":""},{"dropping-particle":"","family":"Loder","given":"E W","non-dropping-particle":"","parse-names":false,"suffix":""},{"dropping-particle":"","family":"Golub","given":"R","non-dropping-particle":"","parse-names":false,"suffix":""},{"dropping-particle":"","family":"Gallo","given":"V","non-dropping-particle":"","parse-names":false,"suffix":""},{"dropping-particle":"","family":"Tybjaerg-Hansen","given":"A","non-dropping-particle":"","parse-names":false,"suffix":""},{"dropping-particle":"","family":"Davey Smith","given":"G","non-dropping-particle":"","parse-names":false,"suffix":""},{"dropping-particle":"","family":"Egger","given":"M","non-dropping-particle":"","parse-names":false,"suffix":""},{"dropping-particle":"","family":"Richards","given":"J B","non-dropping-particle":"","parse-names":false,"suffix":""}],"container-title":"JAMA","id":"ITEM-1","issued":{"date-parts":[["2021"]]},"page":"under review","title":"Strengthening the Reporting of Observational Studies in Epidemiology using Mendelian Randomization (STROBE-MR) Statement","type":"article-journal"},"uris":["http://www.mendeley.com/documents/?uuid=29dd9aa2-14fd-450b-83fb-4c6b74b75061"]}],"mendeley":{"formattedCitation":"&lt;sup&gt;1&lt;/sup&gt;","plainTextFormattedCitation":"1"},"properties":{"noteIndex":0},"schema":"https://github.com/citation-style-language/schema/raw/master/csl-citation.json"}</w:instrText>
      </w:r>
      <w:r>
        <w:rPr>
          <w:rFonts w:ascii="Times New Roman" w:eastAsia="Times New Roman" w:hAnsi="Times New Roman" w:cs="Times New Roman"/>
          <w:b/>
          <w:sz w:val="20"/>
          <w:szCs w:val="20"/>
          <w:lang w:eastAsia="en-GB"/>
        </w:rPr>
        <w:fldChar w:fldCharType="separate"/>
      </w:r>
      <w:r>
        <w:rPr>
          <w:rFonts w:ascii="Times New Roman" w:eastAsia="Times New Roman" w:hAnsi="Times New Roman" w:cs="Times New Roman"/>
          <w:sz w:val="20"/>
          <w:szCs w:val="20"/>
          <w:vertAlign w:val="superscript"/>
          <w:lang w:eastAsia="en-GB"/>
        </w:rPr>
        <w:t>1</w:t>
      </w:r>
      <w:r>
        <w:rPr>
          <w:rFonts w:ascii="Times New Roman" w:eastAsia="Times New Roman" w:hAnsi="Times New Roman" w:cs="Times New Roman"/>
          <w:b/>
          <w:sz w:val="20"/>
          <w:szCs w:val="20"/>
          <w:lang w:eastAsia="en-GB"/>
        </w:rPr>
        <w:fldChar w:fldCharType="end"/>
      </w:r>
      <w:r>
        <w:rPr>
          <w:rFonts w:ascii="Times New Roman" w:eastAsia="Times New Roman" w:hAnsi="Times New Roman" w:cs="Times New Roman"/>
          <w:b/>
          <w:sz w:val="20"/>
          <w:szCs w:val="20"/>
          <w:lang w:eastAsia="en-GB"/>
        </w:rPr>
        <w:t xml:space="preserve"> </w:t>
      </w:r>
      <w:r>
        <w:rPr>
          <w:rFonts w:ascii="Times New Roman" w:eastAsia="Times New Roman" w:hAnsi="Times New Roman" w:cs="Times New Roman"/>
          <w:b/>
          <w:sz w:val="20"/>
          <w:szCs w:val="20"/>
          <w:lang w:eastAsia="en-GB"/>
        </w:rPr>
        <w:fldChar w:fldCharType="begin" w:fldLock="1"/>
      </w:r>
      <w:r>
        <w:rPr>
          <w:rFonts w:ascii="Times New Roman" w:eastAsia="Times New Roman" w:hAnsi="Times New Roman" w:cs="Times New Roman"/>
          <w:b/>
          <w:sz w:val="20"/>
          <w:szCs w:val="20"/>
          <w:lang w:eastAsia="en-GB"/>
        </w:rPr>
        <w:instrText>ADDIN CSL_CITATION {"citationItems":[{"id":"ITEM-1","itemData":{"author":[{"dropping-particle":"","family":"Skrivankova","given":"Veronika W","non-dropping-particle":"","parse-names":false,"suffix":""},{"dropping-particle":"","family":"Richmond","given":"Rebecca C","non-dropping-particle":"","parse-names":false,"suffix":""},{"dropping-particle":"","family":"Woolf","given":"Benjamin A R","non-dropping-particle":"","parse-names":false,"suffix":""},{"dropping-particle":"","family":"Davies","given":"Neil M","non-dropping-particle":"","parse-names":false,"suffix":""},{"dropping-particle":"","family":"Swanson","given":"Sonja A","non-dropping-particle":"","parse-names":false,"suffix":""},{"dropping-particle":"","family":"VanderWeele","given":"Tyler J","non-dropping-particle":"","parse-names":false,"suffix":""},{"dropping-particle":"","family":"Timpson","given":"Nicholas J","non-dropping-particle":"","parse-names":false,"suffix":""},{"dropping-particle":"","family":"Higgins","given":"Julian P T","non-dropping-particle":"","parse-names":false,"suffix":""},{"dropping-particle":"","family":"Dimou","given":"Niki","non-dropping-particle":"","parse-names":false,"suffix":""},{"dropping-particle":"","family":"Langenberg","given":"Claudia","non-dropping-particle":"","parse-names":false,"suffix":""},{"dropping-particle":"","family":"Loder","given":"Elizabeth W","non-dropping-particle":"","parse-names":false,"suffix":""},{"dropping-particle":"","family":"Golub","given":"Robert M","non-dropping-particle":"","parse-names":false,"suffix":""},{"dropping-particle":"","family":"Egger","given":"Mathias","non-dropping-particle":"","parse-names":false,"suffix":""},{"dropping-particle":"","family":"Davey Smith","given":"George","non-dropping-particle":"","parse-names":false,"suffix":""},{"dropping-particle":"","family":"Richards","given":"J Brent","non-dropping-particle":"","parse-names":false,"suffix":""}],"container-title":"BMJ","id":"ITEM-1","issued":{"date-parts":[["2021"]]},"title":"Strengthening the Reporting of Observational Studies in Epidemiology using Mendelian Randomisation (STROBE-MR): Explanation and Elaboration","type":"article-journal","volume":"375:n2233"},"uris":["http://www.mendeley.com/documents/?uuid=af64eb33-5308-4d72-bd7e-6fe0d8fe3570"]}],"mendeley":{"formattedCitation":"&lt;sup&gt;2&lt;/sup&gt;","plainTextFormattedCitation":"2","previouslyFormattedCitation":"&lt;sup&gt;1&lt;/sup&gt;"},"properties":{"noteIndex":0},"schema":"https://github.com/citation-style-language/schema/raw/master/csl-citation.json"}</w:instrText>
      </w:r>
      <w:r>
        <w:rPr>
          <w:rFonts w:ascii="Times New Roman" w:eastAsia="Times New Roman" w:hAnsi="Times New Roman" w:cs="Times New Roman"/>
          <w:b/>
          <w:sz w:val="20"/>
          <w:szCs w:val="20"/>
          <w:lang w:eastAsia="en-GB"/>
        </w:rPr>
        <w:fldChar w:fldCharType="separate"/>
      </w:r>
      <w:r>
        <w:rPr>
          <w:rFonts w:ascii="Times New Roman" w:eastAsia="Times New Roman" w:hAnsi="Times New Roman" w:cs="Times New Roman"/>
          <w:sz w:val="20"/>
          <w:szCs w:val="20"/>
          <w:vertAlign w:val="superscript"/>
          <w:lang w:eastAsia="en-GB"/>
        </w:rPr>
        <w:t>2</w:t>
      </w:r>
      <w:r>
        <w:rPr>
          <w:rFonts w:ascii="Times New Roman" w:eastAsia="Times New Roman" w:hAnsi="Times New Roman" w:cs="Times New Roman"/>
          <w:b/>
          <w:sz w:val="20"/>
          <w:szCs w:val="20"/>
          <w:lang w:eastAsia="en-GB"/>
        </w:rPr>
        <w:fldChar w:fldCharType="end"/>
      </w:r>
      <w:r>
        <w:rPr>
          <w:rFonts w:ascii="Times New Roman" w:eastAsia="Times New Roman" w:hAnsi="Times New Roman" w:cs="Times New Roman"/>
          <w:b/>
          <w:sz w:val="20"/>
          <w:szCs w:val="20"/>
          <w:lang w:eastAsia="en-GB"/>
        </w:rPr>
        <w:t> </w:t>
      </w:r>
    </w:p>
    <w:p w14:paraId="644AC085" w14:textId="77777777" w:rsidR="00EE797D" w:rsidRDefault="00EE797D">
      <w:pPr>
        <w:rPr>
          <w:rFonts w:eastAsia="Times New Roman"/>
          <w:b/>
          <w:sz w:val="20"/>
          <w:szCs w:val="20"/>
          <w:lang w:eastAsia="en-GB"/>
        </w:rPr>
      </w:pPr>
    </w:p>
    <w:tbl>
      <w:tblPr>
        <w:tblW w:w="14490" w:type="dxa"/>
        <w:tblLook w:val="04A0" w:firstRow="1" w:lastRow="0" w:firstColumn="1" w:lastColumn="0" w:noHBand="0" w:noVBand="1"/>
      </w:tblPr>
      <w:tblGrid>
        <w:gridCol w:w="587"/>
        <w:gridCol w:w="1822"/>
        <w:gridCol w:w="5226"/>
        <w:gridCol w:w="746"/>
        <w:gridCol w:w="6109"/>
      </w:tblGrid>
      <w:tr w:rsidR="00EE797D" w14:paraId="644AC08B" w14:textId="77777777">
        <w:tc>
          <w:tcPr>
            <w:tcW w:w="587" w:type="dxa"/>
            <w:tcBorders>
              <w:top w:val="single" w:sz="4" w:space="0" w:color="auto"/>
              <w:bottom w:val="single" w:sz="6" w:space="0" w:color="7F7F7F"/>
            </w:tcBorders>
          </w:tcPr>
          <w:p w14:paraId="644AC086" w14:textId="77777777" w:rsidR="00EE797D" w:rsidRDefault="00C0373C">
            <w:pPr>
              <w:spacing w:beforeLines="40" w:before="96" w:afterLines="40" w:after="96" w:line="24" w:lineRule="atLeast"/>
              <w:rPr>
                <w:rFonts w:ascii="Times New Roman" w:eastAsia="Cambria" w:hAnsi="Times New Roman" w:cs="Times New Roman"/>
                <w:b/>
                <w:bCs/>
                <w:sz w:val="18"/>
                <w:szCs w:val="18"/>
                <w:lang w:val="en-GB" w:eastAsia="en-US"/>
              </w:rPr>
            </w:pPr>
            <w:r>
              <w:rPr>
                <w:rFonts w:ascii="Times New Roman" w:eastAsia="Cambria" w:hAnsi="Times New Roman" w:cs="Times New Roman"/>
                <w:b/>
                <w:bCs/>
                <w:sz w:val="18"/>
                <w:szCs w:val="18"/>
                <w:lang w:val="en-GB" w:eastAsia="en-US"/>
              </w:rPr>
              <w:t>Item No.</w:t>
            </w:r>
          </w:p>
        </w:tc>
        <w:tc>
          <w:tcPr>
            <w:tcW w:w="1822" w:type="dxa"/>
            <w:tcBorders>
              <w:top w:val="single" w:sz="4" w:space="0" w:color="auto"/>
              <w:bottom w:val="single" w:sz="6" w:space="0" w:color="7F7F7F"/>
            </w:tcBorders>
          </w:tcPr>
          <w:p w14:paraId="644AC087" w14:textId="77777777" w:rsidR="00EE797D" w:rsidRDefault="00C0373C">
            <w:pPr>
              <w:spacing w:beforeLines="40" w:before="96" w:afterLines="40" w:after="96" w:line="24" w:lineRule="atLeast"/>
              <w:rPr>
                <w:rFonts w:ascii="Times New Roman" w:eastAsia="Cambria" w:hAnsi="Times New Roman" w:cs="Times New Roman"/>
                <w:b/>
                <w:bCs/>
                <w:sz w:val="18"/>
                <w:szCs w:val="18"/>
                <w:lang w:val="en-GB" w:eastAsia="en-US"/>
              </w:rPr>
            </w:pPr>
            <w:r>
              <w:rPr>
                <w:rFonts w:ascii="Times New Roman" w:eastAsia="Cambria" w:hAnsi="Times New Roman" w:cs="Times New Roman"/>
                <w:b/>
                <w:bCs/>
                <w:sz w:val="18"/>
                <w:szCs w:val="18"/>
                <w:lang w:val="en-GB" w:eastAsia="en-US"/>
              </w:rPr>
              <w:t>Section</w:t>
            </w:r>
          </w:p>
        </w:tc>
        <w:tc>
          <w:tcPr>
            <w:tcW w:w="5226" w:type="dxa"/>
            <w:tcBorders>
              <w:top w:val="single" w:sz="4" w:space="0" w:color="auto"/>
              <w:bottom w:val="single" w:sz="6" w:space="0" w:color="7F7F7F"/>
            </w:tcBorders>
          </w:tcPr>
          <w:p w14:paraId="644AC088" w14:textId="77777777" w:rsidR="00EE797D" w:rsidRDefault="00C0373C">
            <w:pPr>
              <w:spacing w:beforeLines="40" w:before="96" w:afterLines="40" w:after="96" w:line="24" w:lineRule="atLeast"/>
              <w:rPr>
                <w:rFonts w:ascii="Times New Roman" w:eastAsia="Cambria" w:hAnsi="Times New Roman" w:cs="Times New Roman"/>
                <w:b/>
                <w:bCs/>
                <w:sz w:val="18"/>
                <w:szCs w:val="18"/>
                <w:lang w:val="en-GB" w:eastAsia="en-US"/>
              </w:rPr>
            </w:pPr>
            <w:r>
              <w:rPr>
                <w:rFonts w:ascii="Times New Roman" w:eastAsia="Cambria" w:hAnsi="Times New Roman" w:cs="Times New Roman"/>
                <w:b/>
                <w:bCs/>
                <w:sz w:val="18"/>
                <w:szCs w:val="18"/>
                <w:lang w:val="en-GB" w:eastAsia="en-US"/>
              </w:rPr>
              <w:t xml:space="preserve">Checklist item </w:t>
            </w:r>
          </w:p>
        </w:tc>
        <w:tc>
          <w:tcPr>
            <w:tcW w:w="746" w:type="dxa"/>
            <w:tcBorders>
              <w:top w:val="single" w:sz="4" w:space="0" w:color="auto"/>
              <w:bottom w:val="single" w:sz="6" w:space="0" w:color="7F7F7F"/>
            </w:tcBorders>
          </w:tcPr>
          <w:p w14:paraId="644AC089" w14:textId="77777777" w:rsidR="00EE797D" w:rsidRDefault="00C0373C">
            <w:pPr>
              <w:spacing w:beforeLines="40" w:before="96" w:afterLines="40" w:after="96" w:line="24" w:lineRule="atLeast"/>
              <w:rPr>
                <w:rFonts w:ascii="Times New Roman" w:eastAsia="Cambria" w:hAnsi="Times New Roman" w:cs="Times New Roman"/>
                <w:b/>
                <w:bCs/>
                <w:sz w:val="18"/>
                <w:szCs w:val="18"/>
                <w:lang w:val="en-GB" w:eastAsia="en-US"/>
              </w:rPr>
            </w:pPr>
            <w:r>
              <w:rPr>
                <w:rFonts w:ascii="Times New Roman" w:eastAsia="Cambria" w:hAnsi="Times New Roman" w:cs="Times New Roman"/>
                <w:b/>
                <w:bCs/>
                <w:sz w:val="18"/>
                <w:szCs w:val="18"/>
                <w:lang w:val="en-GB" w:eastAsia="en-US"/>
              </w:rPr>
              <w:t>Page No.</w:t>
            </w:r>
          </w:p>
        </w:tc>
        <w:tc>
          <w:tcPr>
            <w:tcW w:w="6109" w:type="dxa"/>
            <w:tcBorders>
              <w:top w:val="single" w:sz="4" w:space="0" w:color="auto"/>
              <w:bottom w:val="single" w:sz="6" w:space="0" w:color="7F7F7F"/>
            </w:tcBorders>
          </w:tcPr>
          <w:p w14:paraId="644AC08A" w14:textId="77777777" w:rsidR="00EE797D" w:rsidRDefault="00C0373C">
            <w:pPr>
              <w:spacing w:beforeLines="40" w:before="96" w:afterLines="40" w:after="96" w:line="24" w:lineRule="atLeast"/>
              <w:rPr>
                <w:rFonts w:ascii="Times New Roman" w:eastAsia="Cambria" w:hAnsi="Times New Roman" w:cs="Times New Roman"/>
                <w:b/>
                <w:bCs/>
                <w:sz w:val="18"/>
                <w:szCs w:val="18"/>
                <w:lang w:val="en-GB" w:eastAsia="en-US"/>
              </w:rPr>
            </w:pPr>
            <w:r>
              <w:rPr>
                <w:rFonts w:ascii="Times New Roman" w:eastAsia="Cambria" w:hAnsi="Times New Roman" w:cs="Times New Roman"/>
                <w:b/>
                <w:bCs/>
                <w:sz w:val="18"/>
                <w:szCs w:val="18"/>
                <w:lang w:val="en-GB" w:eastAsia="en-US"/>
              </w:rPr>
              <w:t>Relevant text from manuscript</w:t>
            </w:r>
          </w:p>
        </w:tc>
      </w:tr>
      <w:tr w:rsidR="00EE797D" w14:paraId="644AC091" w14:textId="77777777">
        <w:tc>
          <w:tcPr>
            <w:tcW w:w="587" w:type="dxa"/>
            <w:tcBorders>
              <w:top w:val="single" w:sz="6" w:space="0" w:color="7F7F7F"/>
              <w:bottom w:val="single" w:sz="6" w:space="0" w:color="7F7F7F"/>
            </w:tcBorders>
            <w:shd w:val="clear" w:color="auto" w:fill="EEEEEE"/>
          </w:tcPr>
          <w:p w14:paraId="644AC08C" w14:textId="77777777" w:rsidR="00EE797D" w:rsidRDefault="00C0373C">
            <w:pPr>
              <w:spacing w:beforeLines="40" w:before="96" w:afterLines="40" w:after="96" w:line="24" w:lineRule="atLeast"/>
              <w:rPr>
                <w:rFonts w:ascii="Times New Roman" w:eastAsia="Times New Roman" w:hAnsi="Times New Roman" w:cs="Times New Roman"/>
                <w:b/>
                <w:bCs/>
                <w:sz w:val="18"/>
                <w:szCs w:val="18"/>
                <w:lang w:val="en-GB" w:eastAsia="en-GB"/>
              </w:rPr>
            </w:pPr>
            <w:r>
              <w:rPr>
                <w:rFonts w:ascii="Times New Roman" w:eastAsia="Times New Roman" w:hAnsi="Times New Roman" w:cs="Times New Roman"/>
                <w:sz w:val="18"/>
                <w:szCs w:val="18"/>
                <w:lang w:val="en-GB" w:eastAsia="en-GB"/>
              </w:rPr>
              <w:t>1</w:t>
            </w:r>
          </w:p>
        </w:tc>
        <w:tc>
          <w:tcPr>
            <w:tcW w:w="1822" w:type="dxa"/>
            <w:tcBorders>
              <w:top w:val="single" w:sz="6" w:space="0" w:color="7F7F7F"/>
              <w:bottom w:val="single" w:sz="6" w:space="0" w:color="7F7F7F"/>
            </w:tcBorders>
            <w:shd w:val="clear" w:color="auto" w:fill="EEEEEE"/>
          </w:tcPr>
          <w:p w14:paraId="644AC08D"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b/>
                <w:bCs/>
                <w:sz w:val="18"/>
                <w:szCs w:val="18"/>
                <w:lang w:val="en-GB" w:eastAsia="en-GB"/>
              </w:rPr>
              <w:t>TITLE and ABSTRACT</w:t>
            </w:r>
          </w:p>
        </w:tc>
        <w:tc>
          <w:tcPr>
            <w:tcW w:w="5226" w:type="dxa"/>
            <w:tcBorders>
              <w:top w:val="single" w:sz="6" w:space="0" w:color="7F7F7F"/>
              <w:bottom w:val="single" w:sz="6" w:space="0" w:color="7F7F7F"/>
            </w:tcBorders>
            <w:shd w:val="clear" w:color="auto" w:fill="EEEEEE"/>
          </w:tcPr>
          <w:p w14:paraId="644AC08E"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Indicate Mendelian randomization (MR) as the study’s design in the title and/or the abstract if that is a main purpose of the study</w:t>
            </w:r>
          </w:p>
        </w:tc>
        <w:tc>
          <w:tcPr>
            <w:tcW w:w="746" w:type="dxa"/>
            <w:tcBorders>
              <w:top w:val="single" w:sz="6" w:space="0" w:color="7F7F7F"/>
              <w:bottom w:val="single" w:sz="6" w:space="0" w:color="7F7F7F"/>
            </w:tcBorders>
            <w:shd w:val="clear" w:color="auto" w:fill="EEEEEE"/>
          </w:tcPr>
          <w:p w14:paraId="644AC08F"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1</w:t>
            </w:r>
          </w:p>
        </w:tc>
        <w:tc>
          <w:tcPr>
            <w:tcW w:w="6109" w:type="dxa"/>
            <w:tcBorders>
              <w:top w:val="single" w:sz="6" w:space="0" w:color="7F7F7F"/>
              <w:bottom w:val="single" w:sz="6" w:space="0" w:color="7F7F7F"/>
            </w:tcBorders>
            <w:shd w:val="clear" w:color="auto" w:fill="EEEEEE"/>
          </w:tcPr>
          <w:p w14:paraId="644AC090"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Style w:val="Pogrubienie"/>
                <w:rFonts w:ascii="Times New Roman" w:eastAsia="Segoe UI" w:hAnsi="Times New Roman" w:cs="Times New Roman"/>
                <w:bCs/>
                <w:color w:val="0F1115"/>
                <w:sz w:val="15"/>
                <w:szCs w:val="15"/>
                <w:shd w:val="clear" w:color="auto" w:fill="FFFFFF"/>
              </w:rPr>
              <w:t>Title:</w:t>
            </w:r>
            <w:r>
              <w:rPr>
                <w:rFonts w:ascii="Times New Roman" w:eastAsia="Segoe UI" w:hAnsi="Times New Roman" w:cs="Times New Roman"/>
                <w:color w:val="0F1115"/>
                <w:sz w:val="15"/>
                <w:szCs w:val="15"/>
                <w:shd w:val="clear" w:color="auto" w:fill="FFFFFF"/>
              </w:rPr>
              <w:t> The Causal Effects of Brain Structure and Gene Expression on Neurodegenerative Diseases: A Mendelian Randomization Study</w:t>
            </w:r>
            <w:r>
              <w:rPr>
                <w:rFonts w:ascii="Times New Roman" w:eastAsia="Segoe UI" w:hAnsi="Times New Roman" w:cs="Times New Roman"/>
                <w:color w:val="0F1115"/>
                <w:sz w:val="15"/>
                <w:szCs w:val="15"/>
                <w:shd w:val="clear" w:color="auto" w:fill="FFFFFF"/>
              </w:rPr>
              <w:br/>
            </w:r>
            <w:r>
              <w:rPr>
                <w:rStyle w:val="Pogrubienie"/>
                <w:rFonts w:ascii="Times New Roman" w:eastAsia="Segoe UI" w:hAnsi="Times New Roman" w:cs="Times New Roman"/>
                <w:bCs/>
                <w:color w:val="0F1115"/>
                <w:sz w:val="15"/>
                <w:szCs w:val="15"/>
                <w:shd w:val="clear" w:color="auto" w:fill="FFFFFF"/>
              </w:rPr>
              <w:t>Abstract:</w:t>
            </w:r>
            <w:r>
              <w:rPr>
                <w:rFonts w:ascii="Times New Roman" w:eastAsia="Segoe UI" w:hAnsi="Times New Roman" w:cs="Times New Roman"/>
                <w:color w:val="0F1115"/>
                <w:sz w:val="15"/>
                <w:szCs w:val="15"/>
                <w:shd w:val="clear" w:color="auto" w:fill="FFFFFF"/>
              </w:rPr>
              <w:t> “This study employs Mendelian randomization (MR) to investigate potential causal relationships...”</w:t>
            </w:r>
          </w:p>
        </w:tc>
      </w:tr>
      <w:tr w:rsidR="00EE797D" w14:paraId="644AC097" w14:textId="77777777">
        <w:tc>
          <w:tcPr>
            <w:tcW w:w="587" w:type="dxa"/>
            <w:tcBorders>
              <w:top w:val="single" w:sz="6" w:space="0" w:color="7F7F7F"/>
            </w:tcBorders>
          </w:tcPr>
          <w:p w14:paraId="644AC092" w14:textId="77777777" w:rsidR="00EE797D" w:rsidRDefault="00EE797D">
            <w:pPr>
              <w:spacing w:beforeLines="40" w:before="96" w:afterLines="40" w:after="96" w:line="24" w:lineRule="atLeast"/>
              <w:rPr>
                <w:rFonts w:ascii="Times New Roman" w:eastAsia="Times New Roman" w:hAnsi="Times New Roman" w:cs="Times New Roman"/>
                <w:b/>
                <w:bCs/>
                <w:sz w:val="18"/>
                <w:szCs w:val="18"/>
                <w:lang w:val="en-GB" w:eastAsia="en-GB"/>
              </w:rPr>
            </w:pPr>
          </w:p>
        </w:tc>
        <w:tc>
          <w:tcPr>
            <w:tcW w:w="1822" w:type="dxa"/>
            <w:tcBorders>
              <w:top w:val="single" w:sz="6" w:space="0" w:color="7F7F7F"/>
            </w:tcBorders>
          </w:tcPr>
          <w:p w14:paraId="644AC093"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b/>
                <w:bCs/>
                <w:sz w:val="18"/>
                <w:szCs w:val="18"/>
                <w:lang w:val="en-GB" w:eastAsia="en-GB"/>
              </w:rPr>
              <w:t>INTRODUCTION</w:t>
            </w:r>
          </w:p>
        </w:tc>
        <w:tc>
          <w:tcPr>
            <w:tcW w:w="5226" w:type="dxa"/>
            <w:tcBorders>
              <w:top w:val="single" w:sz="6" w:space="0" w:color="7F7F7F"/>
            </w:tcBorders>
          </w:tcPr>
          <w:p w14:paraId="644AC094" w14:textId="77777777" w:rsidR="00EE797D" w:rsidRDefault="00EE797D">
            <w:pPr>
              <w:spacing w:beforeLines="40" w:before="96" w:afterLines="40" w:after="96" w:line="24" w:lineRule="atLeast"/>
              <w:rPr>
                <w:rFonts w:ascii="Times New Roman" w:eastAsia="Cambria" w:hAnsi="Times New Roman" w:cs="Times New Roman"/>
                <w:sz w:val="18"/>
                <w:szCs w:val="18"/>
                <w:lang w:val="en-GB" w:eastAsia="en-US"/>
              </w:rPr>
            </w:pPr>
          </w:p>
        </w:tc>
        <w:tc>
          <w:tcPr>
            <w:tcW w:w="746" w:type="dxa"/>
            <w:tcBorders>
              <w:top w:val="single" w:sz="6" w:space="0" w:color="7F7F7F"/>
            </w:tcBorders>
          </w:tcPr>
          <w:p w14:paraId="644AC095" w14:textId="77777777" w:rsidR="00EE797D" w:rsidRDefault="00EE797D">
            <w:pPr>
              <w:spacing w:beforeLines="40" w:before="96" w:afterLines="40" w:after="96" w:line="24" w:lineRule="atLeast"/>
              <w:rPr>
                <w:rFonts w:ascii="Times New Roman" w:eastAsia="Cambria" w:hAnsi="Times New Roman" w:cs="Times New Roman"/>
                <w:sz w:val="18"/>
                <w:szCs w:val="18"/>
                <w:lang w:val="en-GB" w:eastAsia="en-US"/>
              </w:rPr>
            </w:pPr>
          </w:p>
        </w:tc>
        <w:tc>
          <w:tcPr>
            <w:tcW w:w="6109" w:type="dxa"/>
            <w:tcBorders>
              <w:top w:val="single" w:sz="6" w:space="0" w:color="7F7F7F"/>
            </w:tcBorders>
          </w:tcPr>
          <w:p w14:paraId="644AC096" w14:textId="77777777" w:rsidR="00EE797D" w:rsidRDefault="00EE797D">
            <w:pPr>
              <w:spacing w:beforeLines="40" w:before="96" w:afterLines="40" w:after="96" w:line="24" w:lineRule="atLeast"/>
              <w:rPr>
                <w:rFonts w:ascii="Times New Roman" w:eastAsia="Cambria" w:hAnsi="Times New Roman" w:cs="Times New Roman"/>
                <w:sz w:val="18"/>
                <w:szCs w:val="18"/>
                <w:lang w:val="en-GB" w:eastAsia="en-US"/>
              </w:rPr>
            </w:pPr>
          </w:p>
        </w:tc>
      </w:tr>
      <w:tr w:rsidR="00EE797D" w14:paraId="644AC09D" w14:textId="77777777">
        <w:tc>
          <w:tcPr>
            <w:tcW w:w="587" w:type="dxa"/>
            <w:shd w:val="clear" w:color="auto" w:fill="EEEEEE"/>
          </w:tcPr>
          <w:p w14:paraId="644AC098" w14:textId="77777777" w:rsidR="00EE797D" w:rsidRDefault="00C0373C">
            <w:pPr>
              <w:spacing w:beforeLines="40" w:before="96" w:afterLines="40" w:after="96" w:line="24" w:lineRule="atLeast"/>
              <w:rPr>
                <w:rFonts w:ascii="Times New Roman" w:eastAsia="Times New Roman" w:hAnsi="Times New Roman" w:cs="Times New Roman"/>
                <w:b/>
                <w:bCs/>
                <w:sz w:val="18"/>
                <w:szCs w:val="18"/>
                <w:lang w:val="en-GB" w:eastAsia="en-GB"/>
              </w:rPr>
            </w:pPr>
            <w:r>
              <w:rPr>
                <w:rFonts w:ascii="Times New Roman" w:eastAsia="Times New Roman" w:hAnsi="Times New Roman" w:cs="Times New Roman"/>
                <w:sz w:val="18"/>
                <w:szCs w:val="18"/>
                <w:lang w:val="en-GB" w:eastAsia="en-GB"/>
              </w:rPr>
              <w:t>2</w:t>
            </w:r>
          </w:p>
        </w:tc>
        <w:tc>
          <w:tcPr>
            <w:tcW w:w="1822" w:type="dxa"/>
            <w:shd w:val="clear" w:color="auto" w:fill="EEEEEE"/>
          </w:tcPr>
          <w:p w14:paraId="644AC099"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b/>
                <w:bCs/>
                <w:sz w:val="18"/>
                <w:szCs w:val="18"/>
                <w:lang w:val="en-GB" w:eastAsia="en-GB"/>
              </w:rPr>
              <w:t>Background</w:t>
            </w:r>
          </w:p>
        </w:tc>
        <w:tc>
          <w:tcPr>
            <w:tcW w:w="5226" w:type="dxa"/>
            <w:shd w:val="clear" w:color="auto" w:fill="EEEEEE"/>
          </w:tcPr>
          <w:p w14:paraId="644AC09A"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Explain the scientific background and rationale for the reported study. What is the exposure? Is a potential causal relationship between exposure and outcome plausible? Justify why MR is a helpful method to address the study question</w:t>
            </w:r>
          </w:p>
        </w:tc>
        <w:tc>
          <w:tcPr>
            <w:tcW w:w="746" w:type="dxa"/>
            <w:shd w:val="clear" w:color="auto" w:fill="EEEEEE"/>
          </w:tcPr>
          <w:p w14:paraId="644AC09B"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1-4</w:t>
            </w:r>
          </w:p>
        </w:tc>
        <w:tc>
          <w:tcPr>
            <w:tcW w:w="6109" w:type="dxa"/>
            <w:shd w:val="clear" w:color="auto" w:fill="EEEEEE"/>
          </w:tcPr>
          <w:p w14:paraId="644AC09C"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Style w:val="Pogrubienie"/>
                <w:rFonts w:ascii="Times New Roman" w:eastAsia="Segoe UI" w:hAnsi="Times New Roman" w:cs="Times New Roman"/>
                <w:bCs/>
                <w:color w:val="0F1115"/>
                <w:sz w:val="15"/>
                <w:szCs w:val="15"/>
                <w:shd w:val="clear" w:color="auto" w:fill="FFFFFF"/>
              </w:rPr>
              <w:t>Background &amp; Rationale:</w:t>
            </w:r>
            <w:r>
              <w:rPr>
                <w:rFonts w:ascii="Times New Roman" w:eastAsia="Segoe UI" w:hAnsi="Times New Roman" w:cs="Times New Roman"/>
                <w:color w:val="0F1115"/>
                <w:sz w:val="15"/>
                <w:szCs w:val="15"/>
                <w:shd w:val="clear" w:color="auto" w:fill="FFFFFF"/>
              </w:rPr>
              <w:t> Describes NDDs as a global health threat, limitations of traditional observational studies (confounding, reverse causation) in establishing causality between brain structure and NDDs. (p.1-3).</w:t>
            </w:r>
            <w:r>
              <w:rPr>
                <w:rFonts w:ascii="Times New Roman" w:eastAsia="Segoe UI" w:hAnsi="Times New Roman" w:cs="Times New Roman"/>
                <w:color w:val="0F1115"/>
                <w:sz w:val="15"/>
                <w:szCs w:val="15"/>
                <w:shd w:val="clear" w:color="auto" w:fill="FFFFFF"/>
              </w:rPr>
              <w:br/>
            </w:r>
            <w:r>
              <w:rPr>
                <w:rStyle w:val="Pogrubienie"/>
                <w:rFonts w:ascii="Times New Roman" w:eastAsia="Segoe UI" w:hAnsi="Times New Roman" w:cs="Times New Roman"/>
                <w:bCs/>
                <w:color w:val="0F1115"/>
                <w:sz w:val="15"/>
                <w:szCs w:val="15"/>
                <w:shd w:val="clear" w:color="auto" w:fill="FFFFFF"/>
              </w:rPr>
              <w:t>Exposure:</w:t>
            </w:r>
            <w:r>
              <w:rPr>
                <w:rFonts w:ascii="Times New Roman" w:eastAsia="Segoe UI" w:hAnsi="Times New Roman" w:cs="Times New Roman"/>
                <w:color w:val="0F1115"/>
                <w:sz w:val="15"/>
                <w:szCs w:val="15"/>
                <w:shd w:val="clear" w:color="auto" w:fill="FFFFFF"/>
              </w:rPr>
              <w:t> Brain structural characteristics (512 UDIPs) and region-specific gene expression profiles (13 brain regions). (p.2, p.5-6).</w:t>
            </w:r>
            <w:r>
              <w:rPr>
                <w:rFonts w:ascii="Times New Roman" w:eastAsia="Segoe UI" w:hAnsi="Times New Roman" w:cs="Times New Roman"/>
                <w:color w:val="0F1115"/>
                <w:sz w:val="15"/>
                <w:szCs w:val="15"/>
                <w:shd w:val="clear" w:color="auto" w:fill="FFFFFF"/>
              </w:rPr>
              <w:br/>
            </w:r>
            <w:r>
              <w:rPr>
                <w:rStyle w:val="Pogrubienie"/>
                <w:rFonts w:ascii="Times New Roman" w:eastAsia="Segoe UI" w:hAnsi="Times New Roman" w:cs="Times New Roman"/>
                <w:bCs/>
                <w:color w:val="0F1115"/>
                <w:sz w:val="15"/>
                <w:szCs w:val="15"/>
                <w:shd w:val="clear" w:color="auto" w:fill="FFFFFF"/>
              </w:rPr>
              <w:t>Outcome:</w:t>
            </w:r>
            <w:r>
              <w:rPr>
                <w:rFonts w:ascii="Times New Roman" w:eastAsia="Segoe UI" w:hAnsi="Times New Roman" w:cs="Times New Roman"/>
                <w:color w:val="0F1115"/>
                <w:sz w:val="15"/>
                <w:szCs w:val="15"/>
                <w:shd w:val="clear" w:color="auto" w:fill="FFFFFF"/>
              </w:rPr>
              <w:t> Four NDDs: Alzheimer's disease (AD), Parkinson's disease (PD), amyotrophic lateral sclerosis (ALS), and multiple sclerosis (MS). (p.1).</w:t>
            </w:r>
            <w:r>
              <w:rPr>
                <w:rFonts w:ascii="Times New Roman" w:eastAsia="Segoe UI" w:hAnsi="Times New Roman" w:cs="Times New Roman"/>
                <w:color w:val="0F1115"/>
                <w:sz w:val="15"/>
                <w:szCs w:val="15"/>
                <w:shd w:val="clear" w:color="auto" w:fill="FFFFFF"/>
              </w:rPr>
              <w:br/>
            </w:r>
            <w:r>
              <w:rPr>
                <w:rStyle w:val="Pogrubienie"/>
                <w:rFonts w:ascii="Times New Roman" w:eastAsia="Segoe UI" w:hAnsi="Times New Roman" w:cs="Times New Roman"/>
                <w:bCs/>
                <w:color w:val="0F1115"/>
                <w:sz w:val="15"/>
                <w:szCs w:val="15"/>
                <w:shd w:val="clear" w:color="auto" w:fill="FFFFFF"/>
              </w:rPr>
              <w:t>Justify MR:</w:t>
            </w:r>
            <w:r>
              <w:rPr>
                <w:rFonts w:ascii="Times New Roman" w:eastAsia="Segoe UI" w:hAnsi="Times New Roman" w:cs="Times New Roman"/>
                <w:color w:val="0F1115"/>
                <w:sz w:val="15"/>
                <w:szCs w:val="15"/>
                <w:shd w:val="clear" w:color="auto" w:fill="FFFFFF"/>
              </w:rPr>
              <w:t> “Mendelian randomization (MR) emerges as a paradigm-shifting methodological framework... This approach fundamentally circumvents the persistent confounding biases and reverse causation...” (p.4).</w:t>
            </w:r>
          </w:p>
        </w:tc>
      </w:tr>
      <w:tr w:rsidR="00EE797D" w14:paraId="644AC0A3" w14:textId="77777777">
        <w:tc>
          <w:tcPr>
            <w:tcW w:w="587" w:type="dxa"/>
            <w:tcBorders>
              <w:bottom w:val="single" w:sz="6" w:space="0" w:color="7F7F7F"/>
            </w:tcBorders>
          </w:tcPr>
          <w:p w14:paraId="644AC09E" w14:textId="77777777" w:rsidR="00EE797D" w:rsidRDefault="00C0373C">
            <w:pPr>
              <w:spacing w:beforeLines="40" w:before="96" w:afterLines="40" w:after="96" w:line="24" w:lineRule="atLeast"/>
              <w:rPr>
                <w:rFonts w:ascii="Times New Roman" w:eastAsia="Times New Roman" w:hAnsi="Times New Roman" w:cs="Times New Roman"/>
                <w:b/>
                <w:bCs/>
                <w:sz w:val="18"/>
                <w:szCs w:val="18"/>
                <w:lang w:val="en-GB" w:eastAsia="en-GB"/>
              </w:rPr>
            </w:pPr>
            <w:r>
              <w:rPr>
                <w:rFonts w:ascii="Times New Roman" w:eastAsia="Times New Roman" w:hAnsi="Times New Roman" w:cs="Times New Roman"/>
                <w:sz w:val="18"/>
                <w:szCs w:val="18"/>
                <w:lang w:val="en-GB" w:eastAsia="en-GB"/>
              </w:rPr>
              <w:t>3</w:t>
            </w:r>
          </w:p>
        </w:tc>
        <w:tc>
          <w:tcPr>
            <w:tcW w:w="1822" w:type="dxa"/>
            <w:tcBorders>
              <w:bottom w:val="single" w:sz="6" w:space="0" w:color="7F7F7F"/>
            </w:tcBorders>
          </w:tcPr>
          <w:p w14:paraId="644AC09F"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b/>
                <w:bCs/>
                <w:sz w:val="18"/>
                <w:szCs w:val="18"/>
                <w:lang w:val="en-GB" w:eastAsia="en-GB"/>
              </w:rPr>
              <w:t>Objectives</w:t>
            </w:r>
          </w:p>
        </w:tc>
        <w:tc>
          <w:tcPr>
            <w:tcW w:w="5226" w:type="dxa"/>
            <w:tcBorders>
              <w:bottom w:val="single" w:sz="6" w:space="0" w:color="7F7F7F"/>
            </w:tcBorders>
          </w:tcPr>
          <w:p w14:paraId="644AC0A0"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State specific objectives clearly, including pre-specified causal hypotheses (if any). State that MR is a method that, under specific assumptions, intends to estimate causal effects</w:t>
            </w:r>
          </w:p>
        </w:tc>
        <w:tc>
          <w:tcPr>
            <w:tcW w:w="746" w:type="dxa"/>
            <w:tcBorders>
              <w:bottom w:val="single" w:sz="6" w:space="0" w:color="7F7F7F"/>
            </w:tcBorders>
          </w:tcPr>
          <w:p w14:paraId="644AC0A1"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4</w:t>
            </w:r>
          </w:p>
        </w:tc>
        <w:tc>
          <w:tcPr>
            <w:tcW w:w="6109" w:type="dxa"/>
            <w:tcBorders>
              <w:bottom w:val="single" w:sz="6" w:space="0" w:color="7F7F7F"/>
            </w:tcBorders>
          </w:tcPr>
          <w:p w14:paraId="644AC0A2"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Style w:val="Pogrubienie"/>
                <w:rFonts w:ascii="Times New Roman" w:eastAsia="Segoe UI" w:hAnsi="Times New Roman" w:cs="Times New Roman"/>
                <w:bCs/>
                <w:color w:val="0F1115"/>
                <w:sz w:val="15"/>
                <w:szCs w:val="15"/>
                <w:shd w:val="clear" w:color="auto" w:fill="FFFFFF"/>
              </w:rPr>
              <w:t>Objectives:</w:t>
            </w:r>
            <w:r>
              <w:rPr>
                <w:rFonts w:ascii="Times New Roman" w:eastAsia="Segoe UI" w:hAnsi="Times New Roman" w:cs="Times New Roman"/>
                <w:color w:val="0F1115"/>
                <w:sz w:val="15"/>
                <w:szCs w:val="15"/>
                <w:shd w:val="clear" w:color="auto" w:fill="FFFFFF"/>
              </w:rPr>
              <w:t> “This study employs MR analysis to assess potential causal associations among brain structure, region-specific gene expression patterns, and four major categories of NDDs.” (p.4).</w:t>
            </w:r>
            <w:r>
              <w:rPr>
                <w:rFonts w:ascii="Times New Roman" w:eastAsia="Segoe UI" w:hAnsi="Times New Roman" w:cs="Times New Roman"/>
                <w:color w:val="0F1115"/>
                <w:sz w:val="15"/>
                <w:szCs w:val="15"/>
                <w:shd w:val="clear" w:color="auto" w:fill="FFFFFF"/>
              </w:rPr>
              <w:br/>
            </w:r>
            <w:r>
              <w:rPr>
                <w:rStyle w:val="Pogrubienie"/>
                <w:rFonts w:ascii="Times New Roman" w:eastAsia="Segoe UI" w:hAnsi="Times New Roman" w:cs="Times New Roman"/>
                <w:bCs/>
                <w:color w:val="0F1115"/>
                <w:sz w:val="15"/>
                <w:szCs w:val="15"/>
                <w:shd w:val="clear" w:color="auto" w:fill="FFFFFF"/>
              </w:rPr>
              <w:t>MR as causal method:</w:t>
            </w:r>
            <w:r>
              <w:rPr>
                <w:rFonts w:ascii="Times New Roman" w:eastAsia="Segoe UI" w:hAnsi="Times New Roman" w:cs="Times New Roman"/>
                <w:color w:val="0F1115"/>
                <w:sz w:val="15"/>
                <w:szCs w:val="15"/>
                <w:shd w:val="clear" w:color="auto" w:fill="FFFFFF"/>
              </w:rPr>
              <w:t> “MR employs heritable genetic variants as instrumental variables to establish causal inference models.” (p.4).</w:t>
            </w:r>
          </w:p>
        </w:tc>
      </w:tr>
      <w:tr w:rsidR="00EE797D" w14:paraId="644AC0A9" w14:textId="77777777">
        <w:tc>
          <w:tcPr>
            <w:tcW w:w="587" w:type="dxa"/>
            <w:tcBorders>
              <w:top w:val="single" w:sz="6" w:space="0" w:color="7F7F7F"/>
            </w:tcBorders>
            <w:shd w:val="clear" w:color="auto" w:fill="EEEEEE"/>
          </w:tcPr>
          <w:p w14:paraId="644AC0A4" w14:textId="77777777" w:rsidR="00EE797D" w:rsidRDefault="00EE797D">
            <w:pPr>
              <w:spacing w:beforeLines="40" w:before="96" w:afterLines="40" w:after="96" w:line="24" w:lineRule="atLeast"/>
              <w:rPr>
                <w:rFonts w:ascii="Times New Roman" w:eastAsia="Times New Roman" w:hAnsi="Times New Roman" w:cs="Times New Roman"/>
                <w:b/>
                <w:bCs/>
                <w:sz w:val="18"/>
                <w:szCs w:val="18"/>
                <w:lang w:val="en-GB" w:eastAsia="en-GB"/>
              </w:rPr>
            </w:pPr>
          </w:p>
        </w:tc>
        <w:tc>
          <w:tcPr>
            <w:tcW w:w="1822" w:type="dxa"/>
            <w:tcBorders>
              <w:top w:val="single" w:sz="6" w:space="0" w:color="7F7F7F"/>
            </w:tcBorders>
            <w:shd w:val="clear" w:color="auto" w:fill="EEEEEE"/>
          </w:tcPr>
          <w:p w14:paraId="644AC0A5"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b/>
                <w:bCs/>
                <w:sz w:val="18"/>
                <w:szCs w:val="18"/>
                <w:lang w:val="en-GB" w:eastAsia="en-GB"/>
              </w:rPr>
              <w:t>METHODS</w:t>
            </w:r>
          </w:p>
        </w:tc>
        <w:tc>
          <w:tcPr>
            <w:tcW w:w="5226" w:type="dxa"/>
            <w:tcBorders>
              <w:top w:val="single" w:sz="6" w:space="0" w:color="7F7F7F"/>
            </w:tcBorders>
            <w:shd w:val="clear" w:color="auto" w:fill="EEEEEE"/>
          </w:tcPr>
          <w:p w14:paraId="644AC0A6" w14:textId="77777777" w:rsidR="00EE797D" w:rsidRDefault="00EE797D">
            <w:pPr>
              <w:spacing w:beforeLines="40" w:before="96" w:afterLines="40" w:after="96" w:line="24" w:lineRule="atLeast"/>
              <w:rPr>
                <w:rFonts w:ascii="Times New Roman" w:eastAsia="Cambria" w:hAnsi="Times New Roman" w:cs="Times New Roman"/>
                <w:sz w:val="18"/>
                <w:szCs w:val="18"/>
                <w:lang w:val="en-GB" w:eastAsia="en-US"/>
              </w:rPr>
            </w:pPr>
          </w:p>
        </w:tc>
        <w:tc>
          <w:tcPr>
            <w:tcW w:w="746" w:type="dxa"/>
            <w:tcBorders>
              <w:top w:val="single" w:sz="6" w:space="0" w:color="7F7F7F"/>
            </w:tcBorders>
            <w:shd w:val="clear" w:color="auto" w:fill="EEEEEE"/>
          </w:tcPr>
          <w:p w14:paraId="644AC0A7" w14:textId="77777777" w:rsidR="00EE797D" w:rsidRDefault="00EE797D">
            <w:pPr>
              <w:spacing w:beforeLines="40" w:before="96" w:afterLines="40" w:after="96" w:line="24" w:lineRule="atLeast"/>
              <w:rPr>
                <w:rFonts w:ascii="Times New Roman" w:eastAsia="Cambria" w:hAnsi="Times New Roman" w:cs="Times New Roman"/>
                <w:sz w:val="18"/>
                <w:szCs w:val="18"/>
                <w:lang w:val="en-GB" w:eastAsia="en-US"/>
              </w:rPr>
            </w:pPr>
          </w:p>
        </w:tc>
        <w:tc>
          <w:tcPr>
            <w:tcW w:w="6109" w:type="dxa"/>
            <w:tcBorders>
              <w:top w:val="single" w:sz="6" w:space="0" w:color="7F7F7F"/>
            </w:tcBorders>
            <w:shd w:val="clear" w:color="auto" w:fill="EEEEEE"/>
          </w:tcPr>
          <w:p w14:paraId="644AC0A8" w14:textId="77777777" w:rsidR="00EE797D" w:rsidRDefault="00EE797D">
            <w:pPr>
              <w:spacing w:beforeLines="40" w:before="96" w:afterLines="40" w:after="96" w:line="24" w:lineRule="atLeast"/>
              <w:rPr>
                <w:rFonts w:ascii="Times New Roman" w:eastAsia="Cambria" w:hAnsi="Times New Roman" w:cs="Times New Roman"/>
                <w:sz w:val="18"/>
                <w:szCs w:val="18"/>
                <w:lang w:val="en-GB" w:eastAsia="en-US"/>
              </w:rPr>
            </w:pPr>
          </w:p>
        </w:tc>
      </w:tr>
      <w:tr w:rsidR="00EE797D" w14:paraId="644AC0AF" w14:textId="77777777">
        <w:tc>
          <w:tcPr>
            <w:tcW w:w="587" w:type="dxa"/>
          </w:tcPr>
          <w:p w14:paraId="644AC0AA" w14:textId="77777777" w:rsidR="00EE797D" w:rsidRDefault="00C0373C">
            <w:pPr>
              <w:spacing w:beforeLines="40" w:before="96" w:afterLines="40" w:after="96" w:line="24" w:lineRule="atLeast"/>
              <w:rPr>
                <w:rFonts w:ascii="Times New Roman" w:eastAsia="Times New Roman" w:hAnsi="Times New Roman" w:cs="Times New Roman"/>
                <w:b/>
                <w:bCs/>
                <w:sz w:val="18"/>
                <w:szCs w:val="18"/>
                <w:lang w:val="en-GB" w:eastAsia="en-GB"/>
              </w:rPr>
            </w:pPr>
            <w:r>
              <w:rPr>
                <w:rFonts w:ascii="Times New Roman" w:eastAsia="Times New Roman" w:hAnsi="Times New Roman" w:cs="Times New Roman"/>
                <w:sz w:val="18"/>
                <w:szCs w:val="18"/>
                <w:lang w:val="en-GB" w:eastAsia="en-GB"/>
              </w:rPr>
              <w:t>4</w:t>
            </w:r>
          </w:p>
        </w:tc>
        <w:tc>
          <w:tcPr>
            <w:tcW w:w="1822" w:type="dxa"/>
          </w:tcPr>
          <w:p w14:paraId="644AC0AB"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b/>
                <w:bCs/>
                <w:sz w:val="18"/>
                <w:szCs w:val="18"/>
                <w:lang w:val="en-GB" w:eastAsia="en-GB"/>
              </w:rPr>
              <w:t>Study design and data sources</w:t>
            </w:r>
          </w:p>
        </w:tc>
        <w:tc>
          <w:tcPr>
            <w:tcW w:w="5226" w:type="dxa"/>
          </w:tcPr>
          <w:p w14:paraId="644AC0AC"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Present key elements of the study design early in the article. Consider including a table listing sources of data for all phases of the study. For each data source contributing to the analysis, describe the following: </w:t>
            </w:r>
          </w:p>
        </w:tc>
        <w:tc>
          <w:tcPr>
            <w:tcW w:w="746" w:type="dxa"/>
          </w:tcPr>
          <w:p w14:paraId="644AC0AD"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4-6, 21</w:t>
            </w:r>
          </w:p>
        </w:tc>
        <w:tc>
          <w:tcPr>
            <w:tcW w:w="6109" w:type="dxa"/>
          </w:tcPr>
          <w:p w14:paraId="644AC0AE"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Style w:val="Pogrubienie"/>
                <w:rFonts w:ascii="Times New Roman" w:eastAsia="Segoe UI" w:hAnsi="Times New Roman" w:cs="Times New Roman"/>
                <w:bCs/>
                <w:color w:val="0F1115"/>
                <w:sz w:val="15"/>
                <w:szCs w:val="15"/>
                <w:shd w:val="clear" w:color="auto" w:fill="FFFFFF"/>
              </w:rPr>
              <w:t>Study Design:</w:t>
            </w:r>
            <w:r>
              <w:rPr>
                <w:rFonts w:ascii="Times New Roman" w:eastAsia="Segoe UI" w:hAnsi="Times New Roman" w:cs="Times New Roman"/>
                <w:color w:val="0F1115"/>
                <w:sz w:val="15"/>
                <w:szCs w:val="15"/>
                <w:shd w:val="clear" w:color="auto" w:fill="FFFFFF"/>
              </w:rPr>
              <w:t> Figure 1 (p.21) shows the study flowchart. Section 2.1 (p.4) describes the two-phase MR design.</w:t>
            </w:r>
            <w:r>
              <w:rPr>
                <w:rFonts w:ascii="Times New Roman" w:eastAsia="Segoe UI" w:hAnsi="Times New Roman" w:cs="Times New Roman"/>
                <w:color w:val="0F1115"/>
                <w:sz w:val="15"/>
                <w:szCs w:val="15"/>
                <w:shd w:val="clear" w:color="auto" w:fill="FFFFFF"/>
              </w:rPr>
              <w:br/>
            </w:r>
            <w:r>
              <w:rPr>
                <w:rStyle w:val="Pogrubienie"/>
                <w:rFonts w:ascii="Times New Roman" w:eastAsia="Segoe UI" w:hAnsi="Times New Roman" w:cs="Times New Roman"/>
                <w:bCs/>
                <w:color w:val="0F1115"/>
                <w:sz w:val="15"/>
                <w:szCs w:val="15"/>
                <w:shd w:val="clear" w:color="auto" w:fill="FFFFFF"/>
              </w:rPr>
              <w:t>Data Sources Table:</w:t>
            </w:r>
            <w:r>
              <w:rPr>
                <w:rFonts w:ascii="Times New Roman" w:eastAsia="Segoe UI" w:hAnsi="Times New Roman" w:cs="Times New Roman"/>
                <w:color w:val="0F1115"/>
                <w:sz w:val="15"/>
                <w:szCs w:val="15"/>
                <w:shd w:val="clear" w:color="auto" w:fill="FFFFFF"/>
              </w:rPr>
              <w:t xml:space="preserve"> Table 1 (p.21) provides outcome GWAS source information. Section 2.2 (p.5-6) describes exposure (UDIPs, </w:t>
            </w:r>
            <w:proofErr w:type="spellStart"/>
            <w:r>
              <w:rPr>
                <w:rFonts w:ascii="Times New Roman" w:eastAsia="Segoe UI" w:hAnsi="Times New Roman" w:cs="Times New Roman"/>
                <w:color w:val="0F1115"/>
                <w:sz w:val="15"/>
                <w:szCs w:val="15"/>
                <w:shd w:val="clear" w:color="auto" w:fill="FFFFFF"/>
              </w:rPr>
              <w:t>eQTLs</w:t>
            </w:r>
            <w:proofErr w:type="spellEnd"/>
            <w:r>
              <w:rPr>
                <w:rFonts w:ascii="Times New Roman" w:eastAsia="Segoe UI" w:hAnsi="Times New Roman" w:cs="Times New Roman"/>
                <w:color w:val="0F1115"/>
                <w:sz w:val="15"/>
                <w:szCs w:val="15"/>
                <w:shd w:val="clear" w:color="auto" w:fill="FFFFFF"/>
              </w:rPr>
              <w:t>) and outcome data sources.</w:t>
            </w:r>
          </w:p>
        </w:tc>
      </w:tr>
      <w:tr w:rsidR="00EE797D" w14:paraId="644AC0B5" w14:textId="77777777">
        <w:tc>
          <w:tcPr>
            <w:tcW w:w="587" w:type="dxa"/>
            <w:shd w:val="clear" w:color="auto" w:fill="EEEEEE"/>
          </w:tcPr>
          <w:p w14:paraId="644AC0B0"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shd w:val="clear" w:color="auto" w:fill="EEEEEE"/>
          </w:tcPr>
          <w:p w14:paraId="644AC0B1"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a)</w:t>
            </w:r>
          </w:p>
        </w:tc>
        <w:tc>
          <w:tcPr>
            <w:tcW w:w="5226" w:type="dxa"/>
            <w:shd w:val="clear" w:color="auto" w:fill="EEEEEE"/>
          </w:tcPr>
          <w:p w14:paraId="644AC0B2"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shd w:val="clear" w:color="auto" w:fill="FFFFFF"/>
                <w:lang w:val="en-GB" w:eastAsia="en-GB"/>
              </w:rPr>
              <w:t xml:space="preserve">Setting: </w:t>
            </w:r>
            <w:r>
              <w:rPr>
                <w:rFonts w:ascii="Times New Roman" w:eastAsia="Times New Roman" w:hAnsi="Times New Roman" w:cs="Times New Roman"/>
                <w:sz w:val="18"/>
                <w:szCs w:val="18"/>
                <w:lang w:val="en-GB" w:eastAsia="en-GB"/>
              </w:rPr>
              <w:t xml:space="preserve">Describe the study design and the underlying population, if possible. </w:t>
            </w:r>
            <w:r>
              <w:rPr>
                <w:rFonts w:ascii="Times New Roman" w:eastAsia="Times New Roman" w:hAnsi="Times New Roman" w:cs="Times New Roman"/>
                <w:sz w:val="18"/>
                <w:szCs w:val="18"/>
                <w:shd w:val="clear" w:color="auto" w:fill="FFFFFF"/>
                <w:lang w:val="en-GB" w:eastAsia="en-GB"/>
              </w:rPr>
              <w:t xml:space="preserve">Describe the setting, locations, and relevant dates, including periods </w:t>
            </w:r>
            <w:r>
              <w:rPr>
                <w:rFonts w:ascii="Times New Roman" w:eastAsia="Times New Roman" w:hAnsi="Times New Roman" w:cs="Times New Roman"/>
                <w:color w:val="000000"/>
                <w:sz w:val="18"/>
                <w:szCs w:val="18"/>
                <w:shd w:val="clear" w:color="auto" w:fill="FFFFFF"/>
                <w:lang w:val="en-GB" w:eastAsia="en-GB"/>
              </w:rPr>
              <w:t>of recruitment, exposure, follow-up, and data collection, when available.</w:t>
            </w:r>
          </w:p>
        </w:tc>
        <w:tc>
          <w:tcPr>
            <w:tcW w:w="746" w:type="dxa"/>
            <w:shd w:val="clear" w:color="auto" w:fill="EEEEEE"/>
          </w:tcPr>
          <w:p w14:paraId="644AC0B3" w14:textId="77777777" w:rsidR="00EE797D" w:rsidRDefault="00C0373C">
            <w:pPr>
              <w:spacing w:beforeLines="40" w:before="96" w:afterLines="40" w:after="96" w:line="24" w:lineRule="atLeast"/>
              <w:rPr>
                <w:rFonts w:ascii="Times New Roman" w:eastAsia="SimSun" w:hAnsi="Times New Roman" w:cs="Times New Roman"/>
                <w:sz w:val="18"/>
                <w:szCs w:val="18"/>
                <w:shd w:val="clear" w:color="auto" w:fill="FFFFFF"/>
                <w:lang w:val="en-US" w:eastAsia="zh-CN"/>
              </w:rPr>
            </w:pPr>
            <w:r>
              <w:rPr>
                <w:rFonts w:ascii="Times New Roman" w:eastAsia="SimSun" w:hAnsi="Times New Roman" w:cs="Times New Roman"/>
                <w:sz w:val="18"/>
                <w:szCs w:val="18"/>
                <w:shd w:val="clear" w:color="auto" w:fill="FFFFFF"/>
                <w:lang w:val="en-US" w:eastAsia="zh-CN"/>
              </w:rPr>
              <w:t>5-6</w:t>
            </w:r>
          </w:p>
        </w:tc>
        <w:tc>
          <w:tcPr>
            <w:tcW w:w="6109" w:type="dxa"/>
            <w:shd w:val="clear" w:color="auto" w:fill="EEEEEE"/>
          </w:tcPr>
          <w:p w14:paraId="644AC0B4" w14:textId="77777777" w:rsidR="00EE797D" w:rsidRDefault="00C0373C">
            <w:pPr>
              <w:spacing w:beforeLines="40" w:before="96" w:afterLines="40" w:after="96" w:line="24" w:lineRule="atLeast"/>
              <w:rPr>
                <w:rFonts w:ascii="Times New Roman" w:eastAsia="Times New Roman" w:hAnsi="Times New Roman" w:cs="Times New Roman"/>
                <w:sz w:val="18"/>
                <w:szCs w:val="18"/>
                <w:shd w:val="clear" w:color="auto" w:fill="FFFFFF"/>
                <w:lang w:val="en-GB" w:eastAsia="en-GB"/>
              </w:rPr>
            </w:pPr>
            <w:r>
              <w:rPr>
                <w:rStyle w:val="Pogrubienie"/>
                <w:rFonts w:ascii="Times New Roman" w:eastAsia="Segoe UI" w:hAnsi="Times New Roman" w:cs="Times New Roman"/>
                <w:bCs/>
                <w:color w:val="0F1115"/>
                <w:sz w:val="15"/>
                <w:szCs w:val="15"/>
                <w:shd w:val="clear" w:color="auto" w:fill="FFFFFF"/>
              </w:rPr>
              <w:t>Population &amp; Setting:</w:t>
            </w:r>
            <w:r>
              <w:rPr>
                <w:rFonts w:ascii="Times New Roman" w:eastAsia="Segoe UI" w:hAnsi="Times New Roman" w:cs="Times New Roman"/>
                <w:color w:val="0F1115"/>
                <w:sz w:val="15"/>
                <w:szCs w:val="15"/>
                <w:shd w:val="clear" w:color="auto" w:fill="FFFFFF"/>
              </w:rPr>
              <w:t> Exposure and outcome datasets were primarily derived from European ancestry populations (p.6). Data are from large, publicly available GWAS/</w:t>
            </w:r>
            <w:proofErr w:type="spellStart"/>
            <w:r>
              <w:rPr>
                <w:rFonts w:ascii="Times New Roman" w:eastAsia="Segoe UI" w:hAnsi="Times New Roman" w:cs="Times New Roman"/>
                <w:color w:val="0F1115"/>
                <w:sz w:val="15"/>
                <w:szCs w:val="15"/>
                <w:shd w:val="clear" w:color="auto" w:fill="FFFFFF"/>
              </w:rPr>
              <w:t>eQTL</w:t>
            </w:r>
            <w:proofErr w:type="spellEnd"/>
            <w:r>
              <w:rPr>
                <w:rFonts w:ascii="Times New Roman" w:eastAsia="Segoe UI" w:hAnsi="Times New Roman" w:cs="Times New Roman"/>
                <w:color w:val="0F1115"/>
                <w:sz w:val="15"/>
                <w:szCs w:val="15"/>
                <w:shd w:val="clear" w:color="auto" w:fill="FFFFFF"/>
              </w:rPr>
              <w:t xml:space="preserve"> consortia (Patel et al. 2024, </w:t>
            </w:r>
            <w:proofErr w:type="spellStart"/>
            <w:r>
              <w:rPr>
                <w:rFonts w:ascii="Times New Roman" w:eastAsia="Segoe UI" w:hAnsi="Times New Roman" w:cs="Times New Roman"/>
                <w:color w:val="0F1115"/>
                <w:sz w:val="15"/>
                <w:szCs w:val="15"/>
                <w:shd w:val="clear" w:color="auto" w:fill="FFFFFF"/>
              </w:rPr>
              <w:t>GTEx</w:t>
            </w:r>
            <w:proofErr w:type="spellEnd"/>
            <w:r>
              <w:rPr>
                <w:rFonts w:ascii="Times New Roman" w:eastAsia="Segoe UI" w:hAnsi="Times New Roman" w:cs="Times New Roman"/>
                <w:color w:val="0F1115"/>
                <w:sz w:val="15"/>
                <w:szCs w:val="15"/>
                <w:shd w:val="clear" w:color="auto" w:fill="FFFFFF"/>
              </w:rPr>
              <w:t xml:space="preserve">, IEU </w:t>
            </w:r>
            <w:proofErr w:type="spellStart"/>
            <w:r>
              <w:rPr>
                <w:rFonts w:ascii="Times New Roman" w:eastAsia="Segoe UI" w:hAnsi="Times New Roman" w:cs="Times New Roman"/>
                <w:color w:val="0F1115"/>
                <w:sz w:val="15"/>
                <w:szCs w:val="15"/>
                <w:shd w:val="clear" w:color="auto" w:fill="FFFFFF"/>
              </w:rPr>
              <w:t>OpenGWAS</w:t>
            </w:r>
            <w:proofErr w:type="spellEnd"/>
            <w:r>
              <w:rPr>
                <w:rFonts w:ascii="Times New Roman" w:eastAsia="Segoe UI" w:hAnsi="Times New Roman" w:cs="Times New Roman"/>
                <w:color w:val="0F1115"/>
                <w:sz w:val="15"/>
                <w:szCs w:val="15"/>
                <w:shd w:val="clear" w:color="auto" w:fill="FFFFFF"/>
              </w:rPr>
              <w:t>). Details and PMIDs are provided.</w:t>
            </w:r>
          </w:p>
        </w:tc>
      </w:tr>
      <w:tr w:rsidR="00EE797D" w14:paraId="644AC0BB" w14:textId="77777777">
        <w:tc>
          <w:tcPr>
            <w:tcW w:w="587" w:type="dxa"/>
          </w:tcPr>
          <w:p w14:paraId="644AC0B6"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tcPr>
          <w:p w14:paraId="644AC0B7"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b)</w:t>
            </w:r>
          </w:p>
        </w:tc>
        <w:tc>
          <w:tcPr>
            <w:tcW w:w="5226" w:type="dxa"/>
          </w:tcPr>
          <w:p w14:paraId="644AC0B8" w14:textId="77777777" w:rsidR="00EE797D" w:rsidRDefault="00C0373C">
            <w:pPr>
              <w:spacing w:beforeLines="40" w:before="96" w:afterLines="40" w:after="96" w:line="24" w:lineRule="atLeast"/>
              <w:textAlignment w:val="baseline"/>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shd w:val="clear" w:color="auto" w:fill="FFFFFF"/>
                <w:lang w:val="en-GB" w:eastAsia="en-GB"/>
              </w:rPr>
              <w:t xml:space="preserve">Participants: Give the eligibility criteria, and the sources and methods of selection of participants. </w:t>
            </w:r>
            <w:r>
              <w:rPr>
                <w:rFonts w:ascii="Times New Roman" w:eastAsia="Times New Roman" w:hAnsi="Times New Roman" w:cs="Times New Roman"/>
                <w:color w:val="000000"/>
                <w:sz w:val="18"/>
                <w:szCs w:val="18"/>
              </w:rPr>
              <w:t>Report the sample size, and whether any power or sample size calculations were carried out prior to the main analysis</w:t>
            </w:r>
            <w:r>
              <w:rPr>
                <w:rFonts w:ascii="Times New Roman" w:eastAsia="Times New Roman" w:hAnsi="Times New Roman" w:cs="Times New Roman"/>
                <w:sz w:val="18"/>
                <w:szCs w:val="18"/>
                <w:lang w:val="en-GB" w:eastAsia="en-GB"/>
              </w:rPr>
              <w:t> </w:t>
            </w:r>
          </w:p>
        </w:tc>
        <w:tc>
          <w:tcPr>
            <w:tcW w:w="746" w:type="dxa"/>
          </w:tcPr>
          <w:p w14:paraId="644AC0B9" w14:textId="77777777" w:rsidR="00EE797D" w:rsidRDefault="00C0373C">
            <w:pPr>
              <w:spacing w:beforeLines="40" w:before="96" w:afterLines="40" w:after="96" w:line="24" w:lineRule="atLeast"/>
              <w:textAlignment w:val="baseline"/>
              <w:rPr>
                <w:rFonts w:ascii="Times New Roman" w:eastAsia="SimSun" w:hAnsi="Times New Roman" w:cs="Times New Roman"/>
                <w:sz w:val="18"/>
                <w:szCs w:val="18"/>
                <w:shd w:val="clear" w:color="auto" w:fill="FFFFFF"/>
                <w:lang w:val="en-US" w:eastAsia="zh-CN"/>
              </w:rPr>
            </w:pPr>
            <w:r>
              <w:rPr>
                <w:rFonts w:ascii="Times New Roman" w:eastAsia="SimSun" w:hAnsi="Times New Roman" w:cs="Times New Roman"/>
                <w:sz w:val="18"/>
                <w:szCs w:val="18"/>
                <w:shd w:val="clear" w:color="auto" w:fill="FFFFFF"/>
                <w:lang w:val="en-US" w:eastAsia="zh-CN"/>
              </w:rPr>
              <w:t>6,21</w:t>
            </w:r>
          </w:p>
        </w:tc>
        <w:tc>
          <w:tcPr>
            <w:tcW w:w="6109" w:type="dxa"/>
          </w:tcPr>
          <w:p w14:paraId="644AC0BA" w14:textId="77777777" w:rsidR="00EE797D" w:rsidRDefault="00C0373C">
            <w:pPr>
              <w:spacing w:beforeLines="40" w:before="96" w:afterLines="40" w:after="96" w:line="24" w:lineRule="atLeast"/>
              <w:textAlignment w:val="baseline"/>
              <w:rPr>
                <w:rFonts w:ascii="Times New Roman" w:eastAsia="Times New Roman" w:hAnsi="Times New Roman" w:cs="Times New Roman"/>
                <w:sz w:val="18"/>
                <w:szCs w:val="18"/>
                <w:shd w:val="clear" w:color="auto" w:fill="FFFFFF"/>
                <w:lang w:val="en-GB" w:eastAsia="en-GB"/>
              </w:rPr>
            </w:pPr>
            <w:r>
              <w:rPr>
                <w:rStyle w:val="Pogrubienie"/>
                <w:rFonts w:ascii="Times New Roman" w:eastAsia="Segoe UI" w:hAnsi="Times New Roman" w:cs="Times New Roman"/>
                <w:bCs/>
                <w:color w:val="0F1115"/>
                <w:sz w:val="15"/>
                <w:szCs w:val="15"/>
                <w:shd w:val="clear" w:color="auto" w:fill="FFFFFF"/>
              </w:rPr>
              <w:t>Participants &amp; Sample Size:</w:t>
            </w:r>
            <w:r>
              <w:rPr>
                <w:rFonts w:ascii="Times New Roman" w:eastAsia="Segoe UI" w:hAnsi="Times New Roman" w:cs="Times New Roman"/>
                <w:color w:val="0F1115"/>
                <w:sz w:val="15"/>
                <w:szCs w:val="15"/>
                <w:shd w:val="clear" w:color="auto" w:fill="FFFFFF"/>
              </w:rPr>
              <w:t> Case-control counts: AD (21,982 vs. 41,944), PD (33,674 vs. 449,056), ALS (12,577 vs. 23,475), MS (47,429 vs. 68,374) (p.6; Table 1, p.21). “Case ascertainment and diagnosis were performed in accordance with the study-specific clinical criteria and protocols detailed in the respective original publications (14–17)...” (p.6). No prior power calculation mentioned.</w:t>
            </w:r>
          </w:p>
        </w:tc>
      </w:tr>
      <w:tr w:rsidR="00EE797D" w14:paraId="644AC0C1" w14:textId="77777777">
        <w:tc>
          <w:tcPr>
            <w:tcW w:w="587" w:type="dxa"/>
            <w:shd w:val="clear" w:color="auto" w:fill="EEEEEE"/>
          </w:tcPr>
          <w:p w14:paraId="644AC0BC"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shd w:val="clear" w:color="auto" w:fill="EEEEEE"/>
          </w:tcPr>
          <w:p w14:paraId="644AC0BD"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c)</w:t>
            </w:r>
          </w:p>
        </w:tc>
        <w:tc>
          <w:tcPr>
            <w:tcW w:w="5226" w:type="dxa"/>
            <w:shd w:val="clear" w:color="auto" w:fill="EEEEEE"/>
          </w:tcPr>
          <w:p w14:paraId="644AC0BE"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Describe measurement, quality control and selection of genetic variants</w:t>
            </w:r>
          </w:p>
        </w:tc>
        <w:tc>
          <w:tcPr>
            <w:tcW w:w="746" w:type="dxa"/>
            <w:shd w:val="clear" w:color="auto" w:fill="EEEEEE"/>
          </w:tcPr>
          <w:p w14:paraId="644AC0BF"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6-7</w:t>
            </w:r>
          </w:p>
        </w:tc>
        <w:tc>
          <w:tcPr>
            <w:tcW w:w="6109" w:type="dxa"/>
            <w:shd w:val="clear" w:color="auto" w:fill="EEEEEE"/>
          </w:tcPr>
          <w:p w14:paraId="644AC0C0"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Style w:val="Pogrubienie"/>
                <w:rFonts w:ascii="Times New Roman" w:eastAsia="Segoe UI" w:hAnsi="Times New Roman" w:cs="Times New Roman"/>
                <w:bCs/>
                <w:color w:val="0F1115"/>
                <w:sz w:val="15"/>
                <w:szCs w:val="15"/>
                <w:shd w:val="clear" w:color="auto" w:fill="FFFFFF"/>
              </w:rPr>
              <w:t>Variant Selection &amp; QC:</w:t>
            </w:r>
            <w:r>
              <w:rPr>
                <w:rFonts w:ascii="Times New Roman" w:eastAsia="Segoe UI" w:hAnsi="Times New Roman" w:cs="Times New Roman"/>
                <w:color w:val="0F1115"/>
                <w:sz w:val="15"/>
                <w:szCs w:val="15"/>
                <w:shd w:val="clear" w:color="auto" w:fill="FFFFFF"/>
              </w:rPr>
              <w:t> SNP selection: p ≤ 5×10⁻⁸, r² &lt; 0.001, LD clustering, 100 kb window. F-statistic calculated. (p.6-7). For SMR/</w:t>
            </w:r>
            <w:proofErr w:type="spellStart"/>
            <w:r>
              <w:rPr>
                <w:rFonts w:ascii="Times New Roman" w:eastAsia="Segoe UI" w:hAnsi="Times New Roman" w:cs="Times New Roman"/>
                <w:color w:val="0F1115"/>
                <w:sz w:val="15"/>
                <w:szCs w:val="15"/>
                <w:shd w:val="clear" w:color="auto" w:fill="FFFFFF"/>
              </w:rPr>
              <w:t>eQTLs</w:t>
            </w:r>
            <w:proofErr w:type="spellEnd"/>
            <w:r>
              <w:rPr>
                <w:rFonts w:ascii="Times New Roman" w:eastAsia="Segoe UI" w:hAnsi="Times New Roman" w:cs="Times New Roman"/>
                <w:color w:val="0F1115"/>
                <w:sz w:val="15"/>
                <w:szCs w:val="15"/>
                <w:shd w:val="clear" w:color="auto" w:fill="FFFFFF"/>
              </w:rPr>
              <w:t>: cis-</w:t>
            </w:r>
            <w:proofErr w:type="spellStart"/>
            <w:r>
              <w:rPr>
                <w:rFonts w:ascii="Times New Roman" w:eastAsia="Segoe UI" w:hAnsi="Times New Roman" w:cs="Times New Roman"/>
                <w:color w:val="0F1115"/>
                <w:sz w:val="15"/>
                <w:szCs w:val="15"/>
                <w:shd w:val="clear" w:color="auto" w:fill="FFFFFF"/>
              </w:rPr>
              <w:t>eQTLs</w:t>
            </w:r>
            <w:proofErr w:type="spellEnd"/>
            <w:r>
              <w:rPr>
                <w:rFonts w:ascii="Times New Roman" w:eastAsia="Segoe UI" w:hAnsi="Times New Roman" w:cs="Times New Roman"/>
                <w:color w:val="0F1115"/>
                <w:sz w:val="15"/>
                <w:szCs w:val="15"/>
                <w:shd w:val="clear" w:color="auto" w:fill="FFFFFF"/>
              </w:rPr>
              <w:t xml:space="preserve"> with MAF &gt;1% and p &lt; 5e-08 were retained. (p.8).</w:t>
            </w:r>
          </w:p>
        </w:tc>
      </w:tr>
      <w:tr w:rsidR="00EE797D" w14:paraId="644AC0C7" w14:textId="77777777">
        <w:tc>
          <w:tcPr>
            <w:tcW w:w="587" w:type="dxa"/>
          </w:tcPr>
          <w:p w14:paraId="644AC0C2"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tcPr>
          <w:p w14:paraId="644AC0C3"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d)</w:t>
            </w:r>
          </w:p>
        </w:tc>
        <w:tc>
          <w:tcPr>
            <w:tcW w:w="5226" w:type="dxa"/>
          </w:tcPr>
          <w:p w14:paraId="644AC0C4" w14:textId="77777777" w:rsidR="00EE797D" w:rsidRDefault="00C0373C">
            <w:pPr>
              <w:spacing w:beforeLines="40" w:before="96" w:afterLines="40" w:after="96" w:line="24" w:lineRule="atLeast"/>
              <w:textAlignment w:val="baseline"/>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shd w:val="clear" w:color="auto" w:fill="FFFFFF"/>
                <w:lang w:val="en-GB" w:eastAsia="en-GB"/>
              </w:rPr>
              <w:t>For each exposure, outcome, and other relevant variables, describe methods of assessment and diagnostic criteria for diseases</w:t>
            </w:r>
          </w:p>
        </w:tc>
        <w:tc>
          <w:tcPr>
            <w:tcW w:w="746" w:type="dxa"/>
          </w:tcPr>
          <w:p w14:paraId="644AC0C5" w14:textId="77777777" w:rsidR="00EE797D" w:rsidRDefault="00C0373C">
            <w:pPr>
              <w:spacing w:beforeLines="40" w:before="96" w:afterLines="40" w:after="96" w:line="24" w:lineRule="atLeast"/>
              <w:textAlignment w:val="baseline"/>
              <w:rPr>
                <w:rFonts w:ascii="Times New Roman" w:eastAsia="Times New Roman" w:hAnsi="Times New Roman" w:cs="Times New Roman"/>
                <w:sz w:val="18"/>
                <w:szCs w:val="18"/>
                <w:shd w:val="clear" w:color="auto" w:fill="FFFFFF"/>
                <w:lang w:val="en-GB" w:eastAsia="en-GB"/>
              </w:rPr>
            </w:pPr>
            <w:r>
              <w:rPr>
                <w:rFonts w:ascii="Times New Roman" w:eastAsia="Segoe UI" w:hAnsi="Times New Roman" w:cs="Times New Roman"/>
                <w:color w:val="0F1115"/>
                <w:sz w:val="15"/>
                <w:szCs w:val="15"/>
                <w:shd w:val="clear" w:color="auto" w:fill="FFFFFF"/>
              </w:rPr>
              <w:t>5-6, 21</w:t>
            </w:r>
          </w:p>
        </w:tc>
        <w:tc>
          <w:tcPr>
            <w:tcW w:w="6109" w:type="dxa"/>
          </w:tcPr>
          <w:p w14:paraId="644AC0C6" w14:textId="77777777" w:rsidR="00EE797D" w:rsidRDefault="00C0373C">
            <w:pPr>
              <w:spacing w:beforeLines="40" w:before="96" w:afterLines="40" w:after="96" w:line="24" w:lineRule="atLeast"/>
              <w:textAlignment w:val="baseline"/>
              <w:rPr>
                <w:rFonts w:ascii="Times New Roman" w:eastAsia="Times New Roman" w:hAnsi="Times New Roman" w:cs="Times New Roman"/>
                <w:sz w:val="18"/>
                <w:szCs w:val="18"/>
                <w:shd w:val="clear" w:color="auto" w:fill="FFFFFF"/>
                <w:lang w:val="en-GB" w:eastAsia="en-GB"/>
              </w:rPr>
            </w:pPr>
            <w:r>
              <w:rPr>
                <w:rStyle w:val="Pogrubienie"/>
                <w:rFonts w:ascii="Times New Roman" w:eastAsia="Segoe UI" w:hAnsi="Times New Roman" w:cs="Times New Roman"/>
                <w:bCs/>
                <w:color w:val="0F1115"/>
                <w:sz w:val="15"/>
                <w:szCs w:val="15"/>
                <w:shd w:val="clear" w:color="auto" w:fill="FFFFFF"/>
              </w:rPr>
              <w:t>Exposure Assessment:</w:t>
            </w:r>
            <w:r>
              <w:rPr>
                <w:rFonts w:ascii="Times New Roman" w:eastAsia="Segoe UI" w:hAnsi="Times New Roman" w:cs="Times New Roman"/>
                <w:color w:val="0F1115"/>
                <w:sz w:val="15"/>
                <w:szCs w:val="15"/>
                <w:shd w:val="clear" w:color="auto" w:fill="FFFFFF"/>
              </w:rPr>
              <w:t xml:space="preserve"> UDIPs from Patel et al.: “512 unsupervised deep-learning imaging phenotypes (UDIPs)... through unsupervised deep learning of brain MRI scans.” (p.5). Gene expression from </w:t>
            </w:r>
            <w:proofErr w:type="spellStart"/>
            <w:r>
              <w:rPr>
                <w:rFonts w:ascii="Times New Roman" w:eastAsia="Segoe UI" w:hAnsi="Times New Roman" w:cs="Times New Roman"/>
                <w:color w:val="0F1115"/>
                <w:sz w:val="15"/>
                <w:szCs w:val="15"/>
                <w:shd w:val="clear" w:color="auto" w:fill="FFFFFF"/>
              </w:rPr>
              <w:t>GTEx</w:t>
            </w:r>
            <w:proofErr w:type="spellEnd"/>
            <w:r>
              <w:rPr>
                <w:rFonts w:ascii="Times New Roman" w:eastAsia="Segoe UI" w:hAnsi="Times New Roman" w:cs="Times New Roman"/>
                <w:color w:val="0F1115"/>
                <w:sz w:val="15"/>
                <w:szCs w:val="15"/>
                <w:shd w:val="clear" w:color="auto" w:fill="FFFFFF"/>
              </w:rPr>
              <w:t>: “</w:t>
            </w:r>
            <w:proofErr w:type="spellStart"/>
            <w:r>
              <w:rPr>
                <w:rFonts w:ascii="Times New Roman" w:eastAsia="Segoe UI" w:hAnsi="Times New Roman" w:cs="Times New Roman"/>
                <w:color w:val="0F1115"/>
                <w:sz w:val="15"/>
                <w:szCs w:val="15"/>
                <w:shd w:val="clear" w:color="auto" w:fill="FFFFFF"/>
              </w:rPr>
              <w:t>eQTL</w:t>
            </w:r>
            <w:proofErr w:type="spellEnd"/>
            <w:r>
              <w:rPr>
                <w:rFonts w:ascii="Times New Roman" w:eastAsia="Segoe UI" w:hAnsi="Times New Roman" w:cs="Times New Roman"/>
                <w:color w:val="0F1115"/>
                <w:sz w:val="15"/>
                <w:szCs w:val="15"/>
                <w:shd w:val="clear" w:color="auto" w:fill="FFFFFF"/>
              </w:rPr>
              <w:t xml:space="preserve"> summary statistics for the 13 brain regions were obtained from the </w:t>
            </w:r>
            <w:proofErr w:type="spellStart"/>
            <w:r>
              <w:rPr>
                <w:rFonts w:ascii="Times New Roman" w:eastAsia="Segoe UI" w:hAnsi="Times New Roman" w:cs="Times New Roman"/>
                <w:color w:val="0F1115"/>
                <w:sz w:val="15"/>
                <w:szCs w:val="15"/>
                <w:shd w:val="clear" w:color="auto" w:fill="FFFFFF"/>
              </w:rPr>
              <w:t>GTEx</w:t>
            </w:r>
            <w:proofErr w:type="spellEnd"/>
            <w:r>
              <w:rPr>
                <w:rFonts w:ascii="Times New Roman" w:eastAsia="Segoe UI" w:hAnsi="Times New Roman" w:cs="Times New Roman"/>
                <w:color w:val="0F1115"/>
                <w:sz w:val="15"/>
                <w:szCs w:val="15"/>
                <w:shd w:val="clear" w:color="auto" w:fill="FFFFFF"/>
              </w:rPr>
              <w:t xml:space="preserve"> Consortium database.” (p.6).</w:t>
            </w:r>
            <w:r>
              <w:rPr>
                <w:rFonts w:ascii="Times New Roman" w:eastAsia="Segoe UI" w:hAnsi="Times New Roman" w:cs="Times New Roman"/>
                <w:color w:val="0F1115"/>
                <w:sz w:val="15"/>
                <w:szCs w:val="15"/>
                <w:shd w:val="clear" w:color="auto" w:fill="FFFFFF"/>
              </w:rPr>
              <w:br/>
            </w:r>
            <w:r>
              <w:rPr>
                <w:rStyle w:val="Pogrubienie"/>
                <w:rFonts w:ascii="Times New Roman" w:eastAsia="Segoe UI" w:hAnsi="Times New Roman" w:cs="Times New Roman"/>
                <w:bCs/>
                <w:color w:val="0F1115"/>
                <w:sz w:val="15"/>
                <w:szCs w:val="15"/>
                <w:shd w:val="clear" w:color="auto" w:fill="FFFFFF"/>
              </w:rPr>
              <w:t>Outcome Assessment:</w:t>
            </w:r>
            <w:r>
              <w:rPr>
                <w:rFonts w:ascii="Times New Roman" w:eastAsia="Segoe UI" w:hAnsi="Times New Roman" w:cs="Times New Roman"/>
                <w:color w:val="0F1115"/>
                <w:sz w:val="15"/>
                <w:szCs w:val="15"/>
                <w:shd w:val="clear" w:color="auto" w:fill="FFFFFF"/>
              </w:rPr>
              <w:t> “Case ascertainment and diagnosis were performed in accordance with the study-specific clinical criteria and protocols detailed in the respective original publications (14–17) and summarized in Table 1.” (p.6).</w:t>
            </w:r>
          </w:p>
        </w:tc>
      </w:tr>
      <w:tr w:rsidR="00EE797D" w14:paraId="644AC0CD" w14:textId="77777777">
        <w:tc>
          <w:tcPr>
            <w:tcW w:w="587" w:type="dxa"/>
            <w:shd w:val="clear" w:color="auto" w:fill="EEEEEE"/>
          </w:tcPr>
          <w:p w14:paraId="644AC0C8"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shd w:val="clear" w:color="auto" w:fill="EEEEEE"/>
          </w:tcPr>
          <w:p w14:paraId="644AC0C9"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e)</w:t>
            </w:r>
          </w:p>
        </w:tc>
        <w:tc>
          <w:tcPr>
            <w:tcW w:w="5226" w:type="dxa"/>
            <w:shd w:val="clear" w:color="auto" w:fill="EEEEEE"/>
          </w:tcPr>
          <w:p w14:paraId="644AC0CA" w14:textId="77777777" w:rsidR="00EE797D" w:rsidRDefault="00C0373C">
            <w:pPr>
              <w:spacing w:beforeLines="40" w:before="96" w:afterLines="40" w:after="96" w:line="24" w:lineRule="atLeast"/>
              <w:textAlignment w:val="baseline"/>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shd w:val="clear" w:color="auto" w:fill="FFFFFF"/>
                <w:lang w:val="en-GB" w:eastAsia="en-GB"/>
              </w:rPr>
              <w:t>Provide details of ethics committee approval and participant informed consent, if relevant</w:t>
            </w:r>
          </w:p>
        </w:tc>
        <w:tc>
          <w:tcPr>
            <w:tcW w:w="746" w:type="dxa"/>
            <w:shd w:val="clear" w:color="auto" w:fill="EEEEEE"/>
          </w:tcPr>
          <w:p w14:paraId="644AC0CB" w14:textId="77777777" w:rsidR="00EE797D" w:rsidRDefault="00C0373C">
            <w:pPr>
              <w:spacing w:beforeLines="40" w:before="96" w:afterLines="40" w:after="96" w:line="24" w:lineRule="atLeast"/>
              <w:textAlignment w:val="baseline"/>
              <w:rPr>
                <w:rFonts w:ascii="Times New Roman" w:eastAsia="SimSun" w:hAnsi="Times New Roman" w:cs="Times New Roman"/>
                <w:sz w:val="18"/>
                <w:szCs w:val="18"/>
                <w:shd w:val="clear" w:color="auto" w:fill="FFFFFF"/>
                <w:lang w:val="en-US" w:eastAsia="zh-CN"/>
              </w:rPr>
            </w:pPr>
            <w:r>
              <w:rPr>
                <w:rFonts w:ascii="Times New Roman" w:eastAsia="SimSun" w:hAnsi="Times New Roman" w:cs="Times New Roman"/>
                <w:sz w:val="18"/>
                <w:szCs w:val="18"/>
                <w:shd w:val="clear" w:color="auto" w:fill="FFFFFF"/>
                <w:lang w:val="en-US" w:eastAsia="zh-CN"/>
              </w:rPr>
              <w:t>8-9</w:t>
            </w:r>
          </w:p>
        </w:tc>
        <w:tc>
          <w:tcPr>
            <w:tcW w:w="6109" w:type="dxa"/>
            <w:shd w:val="clear" w:color="auto" w:fill="EEEEEE"/>
          </w:tcPr>
          <w:p w14:paraId="644AC0CC" w14:textId="77777777" w:rsidR="00EE797D" w:rsidRDefault="00C0373C">
            <w:pPr>
              <w:spacing w:beforeLines="40" w:before="96" w:afterLines="40" w:after="96" w:line="24" w:lineRule="atLeast"/>
              <w:textAlignment w:val="baseline"/>
              <w:rPr>
                <w:rFonts w:ascii="Times New Roman" w:eastAsia="Times New Roman" w:hAnsi="Times New Roman" w:cs="Times New Roman"/>
                <w:sz w:val="18"/>
                <w:szCs w:val="18"/>
                <w:shd w:val="clear" w:color="auto" w:fill="FFFFFF"/>
                <w:lang w:val="en-GB" w:eastAsia="en-GB"/>
              </w:rPr>
            </w:pPr>
            <w:r>
              <w:rPr>
                <w:rStyle w:val="Pogrubienie"/>
                <w:rFonts w:ascii="Times New Roman" w:eastAsia="Segoe UI" w:hAnsi="Times New Roman" w:cs="Times New Roman"/>
                <w:bCs/>
                <w:color w:val="0F1115"/>
                <w:sz w:val="15"/>
                <w:szCs w:val="15"/>
                <w:shd w:val="clear" w:color="auto" w:fill="FFFFFF"/>
              </w:rPr>
              <w:t>Ethical Statement:</w:t>
            </w:r>
            <w:r>
              <w:rPr>
                <w:rFonts w:ascii="Times New Roman" w:eastAsia="Segoe UI" w:hAnsi="Times New Roman" w:cs="Times New Roman"/>
                <w:color w:val="0F1115"/>
                <w:sz w:val="15"/>
                <w:szCs w:val="15"/>
                <w:shd w:val="clear" w:color="auto" w:fill="FFFFFF"/>
              </w:rPr>
              <w:t> “The study utilized publicly available GWAS summary statistics databases... all participants having provided informed consent. Thus, no additional ethical approval was required...” (p.8-9).</w:t>
            </w:r>
          </w:p>
        </w:tc>
      </w:tr>
      <w:tr w:rsidR="00EE797D" w14:paraId="644AC0D4" w14:textId="77777777">
        <w:tc>
          <w:tcPr>
            <w:tcW w:w="587" w:type="dxa"/>
          </w:tcPr>
          <w:p w14:paraId="644AC0CE" w14:textId="77777777" w:rsidR="00EE797D" w:rsidRDefault="00C0373C">
            <w:pPr>
              <w:spacing w:beforeLines="40" w:before="96" w:afterLines="40" w:after="96" w:line="24" w:lineRule="atLeast"/>
              <w:rPr>
                <w:rFonts w:ascii="Times New Roman" w:eastAsia="Times New Roman" w:hAnsi="Times New Roman" w:cs="Times New Roman"/>
                <w:b/>
                <w:bCs/>
                <w:sz w:val="18"/>
                <w:szCs w:val="18"/>
                <w:lang w:val="en-GB" w:eastAsia="en-GB"/>
              </w:rPr>
            </w:pPr>
            <w:r>
              <w:rPr>
                <w:rFonts w:ascii="Times New Roman" w:eastAsia="Times New Roman" w:hAnsi="Times New Roman" w:cs="Times New Roman"/>
                <w:sz w:val="18"/>
                <w:szCs w:val="18"/>
                <w:lang w:val="en-GB" w:eastAsia="en-GB"/>
              </w:rPr>
              <w:t>5</w:t>
            </w:r>
          </w:p>
        </w:tc>
        <w:tc>
          <w:tcPr>
            <w:tcW w:w="1822" w:type="dxa"/>
          </w:tcPr>
          <w:p w14:paraId="644AC0CF"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b/>
                <w:bCs/>
                <w:sz w:val="18"/>
                <w:szCs w:val="18"/>
                <w:lang w:val="en-GB" w:eastAsia="en-GB"/>
              </w:rPr>
              <w:t>Assumptions</w:t>
            </w:r>
          </w:p>
          <w:p w14:paraId="644AC0D0" w14:textId="77777777" w:rsidR="00EE797D" w:rsidRDefault="00EE797D">
            <w:pPr>
              <w:spacing w:beforeLines="40" w:before="96" w:afterLines="40" w:after="96" w:line="24" w:lineRule="atLeast"/>
              <w:jc w:val="center"/>
              <w:rPr>
                <w:rFonts w:ascii="Times New Roman" w:eastAsia="Cambria" w:hAnsi="Times New Roman" w:cs="Times New Roman"/>
                <w:sz w:val="18"/>
                <w:szCs w:val="18"/>
                <w:lang w:val="en-GB" w:eastAsia="en-US"/>
              </w:rPr>
            </w:pPr>
          </w:p>
        </w:tc>
        <w:tc>
          <w:tcPr>
            <w:tcW w:w="5226" w:type="dxa"/>
          </w:tcPr>
          <w:p w14:paraId="644AC0D1"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Explicitly state the three core IV assumptions for the main analysis (relevance, independence and exclusion restriction) as well assumptions for any additional or sensitivity analysis</w:t>
            </w:r>
          </w:p>
        </w:tc>
        <w:tc>
          <w:tcPr>
            <w:tcW w:w="746" w:type="dxa"/>
          </w:tcPr>
          <w:p w14:paraId="644AC0D2"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6</w:t>
            </w:r>
          </w:p>
        </w:tc>
        <w:tc>
          <w:tcPr>
            <w:tcW w:w="6109" w:type="dxa"/>
          </w:tcPr>
          <w:p w14:paraId="644AC0D3"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Style w:val="Pogrubienie"/>
                <w:rFonts w:ascii="Times New Roman" w:eastAsia="Segoe UI" w:hAnsi="Times New Roman" w:cs="Times New Roman"/>
                <w:bCs/>
                <w:color w:val="0F1115"/>
                <w:sz w:val="15"/>
                <w:szCs w:val="15"/>
                <w:shd w:val="clear" w:color="auto" w:fill="FFFFFF"/>
              </w:rPr>
              <w:t>Core IV Assumptions:</w:t>
            </w:r>
            <w:r>
              <w:rPr>
                <w:rFonts w:ascii="Times New Roman" w:eastAsia="Segoe UI" w:hAnsi="Times New Roman" w:cs="Times New Roman"/>
                <w:color w:val="0F1115"/>
                <w:sz w:val="15"/>
                <w:szCs w:val="15"/>
                <w:shd w:val="clear" w:color="auto" w:fill="FFFFFF"/>
              </w:rPr>
              <w:t> “To ensure the validity of MR analysis, adherence to three key criteria is critical: (1) single-nucleotide polymorphisms (SNPs) should exclusively influence exposure traits...; (2) SNPs should not be correlated with confounding factors...; and (3) SNPs should affect outcome traits solely through their impact on exposure traits.” (p.6).</w:t>
            </w:r>
          </w:p>
        </w:tc>
      </w:tr>
      <w:tr w:rsidR="00EE797D" w14:paraId="644AC0DA" w14:textId="77777777">
        <w:tc>
          <w:tcPr>
            <w:tcW w:w="587" w:type="dxa"/>
            <w:shd w:val="clear" w:color="auto" w:fill="EEEEEE"/>
          </w:tcPr>
          <w:p w14:paraId="644AC0D5" w14:textId="77777777" w:rsidR="00EE797D" w:rsidRDefault="00C0373C">
            <w:pPr>
              <w:spacing w:beforeLines="40" w:before="96" w:afterLines="40" w:after="96" w:line="24" w:lineRule="atLeast"/>
              <w:rPr>
                <w:rFonts w:ascii="Times New Roman" w:eastAsia="Times New Roman" w:hAnsi="Times New Roman" w:cs="Times New Roman"/>
                <w:b/>
                <w:bCs/>
                <w:sz w:val="18"/>
                <w:szCs w:val="18"/>
                <w:lang w:val="en-GB" w:eastAsia="en-GB"/>
              </w:rPr>
            </w:pPr>
            <w:r>
              <w:rPr>
                <w:rFonts w:ascii="Times New Roman" w:eastAsia="Times New Roman" w:hAnsi="Times New Roman" w:cs="Times New Roman"/>
                <w:sz w:val="18"/>
                <w:szCs w:val="18"/>
                <w:lang w:val="en-GB" w:eastAsia="en-GB"/>
              </w:rPr>
              <w:t>6</w:t>
            </w:r>
          </w:p>
        </w:tc>
        <w:tc>
          <w:tcPr>
            <w:tcW w:w="1822" w:type="dxa"/>
            <w:shd w:val="clear" w:color="auto" w:fill="EEEEEE"/>
          </w:tcPr>
          <w:p w14:paraId="644AC0D6"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b/>
                <w:bCs/>
                <w:sz w:val="18"/>
                <w:szCs w:val="18"/>
                <w:lang w:val="en-GB" w:eastAsia="en-GB"/>
              </w:rPr>
              <w:t>Statistical methods: main analysis</w:t>
            </w:r>
          </w:p>
        </w:tc>
        <w:tc>
          <w:tcPr>
            <w:tcW w:w="5226" w:type="dxa"/>
            <w:shd w:val="clear" w:color="auto" w:fill="EEEEEE"/>
          </w:tcPr>
          <w:p w14:paraId="644AC0D7"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Describe statistical methods and statistics used</w:t>
            </w:r>
          </w:p>
        </w:tc>
        <w:tc>
          <w:tcPr>
            <w:tcW w:w="746" w:type="dxa"/>
            <w:shd w:val="clear" w:color="auto" w:fill="EEEEEE"/>
          </w:tcPr>
          <w:p w14:paraId="644AC0D8"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6-8</w:t>
            </w:r>
          </w:p>
        </w:tc>
        <w:tc>
          <w:tcPr>
            <w:tcW w:w="6109" w:type="dxa"/>
            <w:shd w:val="clear" w:color="auto" w:fill="EEEEEE"/>
          </w:tcPr>
          <w:p w14:paraId="644AC0D9"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Style w:val="Pogrubienie"/>
                <w:rFonts w:ascii="Times New Roman" w:eastAsia="Segoe UI" w:hAnsi="Times New Roman" w:cs="Times New Roman"/>
                <w:bCs/>
                <w:color w:val="0F1115"/>
                <w:sz w:val="15"/>
                <w:szCs w:val="15"/>
                <w:shd w:val="clear" w:color="auto" w:fill="FFFFFF"/>
              </w:rPr>
              <w:t>MR Estimators:</w:t>
            </w:r>
            <w:r>
              <w:rPr>
                <w:rFonts w:ascii="Times New Roman" w:eastAsia="Segoe UI" w:hAnsi="Times New Roman" w:cs="Times New Roman"/>
                <w:color w:val="0F1115"/>
                <w:sz w:val="15"/>
                <w:szCs w:val="15"/>
                <w:shd w:val="clear" w:color="auto" w:fill="FFFFFF"/>
              </w:rPr>
              <w:t> Inverse variance weighted (IVW), MR-Egger, weighted median, weighted mode, Wald ratio. (Abstract, p.6). Summary-data-based MR (SMR) also used. (Abstract, p.8).</w:t>
            </w:r>
            <w:r>
              <w:rPr>
                <w:rFonts w:ascii="Times New Roman" w:eastAsia="Segoe UI" w:hAnsi="Times New Roman" w:cs="Times New Roman"/>
                <w:color w:val="0F1115"/>
                <w:sz w:val="15"/>
                <w:szCs w:val="15"/>
                <w:shd w:val="clear" w:color="auto" w:fill="FFFFFF"/>
              </w:rPr>
              <w:br/>
            </w:r>
            <w:r>
              <w:rPr>
                <w:rStyle w:val="Pogrubienie"/>
                <w:rFonts w:ascii="Times New Roman" w:eastAsia="Segoe UI" w:hAnsi="Times New Roman" w:cs="Times New Roman"/>
                <w:bCs/>
                <w:color w:val="0F1115"/>
                <w:sz w:val="15"/>
                <w:szCs w:val="15"/>
                <w:shd w:val="clear" w:color="auto" w:fill="FFFFFF"/>
              </w:rPr>
              <w:t>Model Selection:</w:t>
            </w:r>
            <w:r>
              <w:rPr>
                <w:rFonts w:ascii="Times New Roman" w:eastAsia="Segoe UI" w:hAnsi="Times New Roman" w:cs="Times New Roman"/>
                <w:color w:val="0F1115"/>
                <w:sz w:val="15"/>
                <w:szCs w:val="15"/>
                <w:shd w:val="clear" w:color="auto" w:fill="FFFFFF"/>
              </w:rPr>
              <w:t> Wald ratio (1 SNP), fixed-effects IVW (2-3 SNPs), random-effects IVW (&gt;3 SNPs). (p.7).</w:t>
            </w:r>
            <w:r>
              <w:rPr>
                <w:rFonts w:ascii="Times New Roman" w:eastAsia="Segoe UI" w:hAnsi="Times New Roman" w:cs="Times New Roman"/>
                <w:color w:val="0F1115"/>
                <w:sz w:val="15"/>
                <w:szCs w:val="15"/>
                <w:shd w:val="clear" w:color="auto" w:fill="FFFFFF"/>
              </w:rPr>
              <w:br/>
            </w:r>
            <w:r>
              <w:rPr>
                <w:rStyle w:val="Pogrubienie"/>
                <w:rFonts w:ascii="Times New Roman" w:eastAsia="Segoe UI" w:hAnsi="Times New Roman" w:cs="Times New Roman"/>
                <w:bCs/>
                <w:color w:val="0F1115"/>
                <w:sz w:val="15"/>
                <w:szCs w:val="15"/>
                <w:shd w:val="clear" w:color="auto" w:fill="FFFFFF"/>
              </w:rPr>
              <w:t>Effect Scale:</w:t>
            </w:r>
            <w:r>
              <w:rPr>
                <w:rFonts w:ascii="Times New Roman" w:eastAsia="Segoe UI" w:hAnsi="Times New Roman" w:cs="Times New Roman"/>
                <w:color w:val="0F1115"/>
                <w:sz w:val="15"/>
                <w:szCs w:val="15"/>
                <w:shd w:val="clear" w:color="auto" w:fill="FFFFFF"/>
              </w:rPr>
              <w:t> “Odds ratios (OR) represent the relative risk of the outcome per standard deviation (SD) increase in the exposure phenotype.” (p.7).</w:t>
            </w:r>
            <w:r>
              <w:rPr>
                <w:rFonts w:ascii="Times New Roman" w:eastAsia="Segoe UI" w:hAnsi="Times New Roman" w:cs="Times New Roman"/>
                <w:color w:val="0F1115"/>
                <w:sz w:val="15"/>
                <w:szCs w:val="15"/>
                <w:shd w:val="clear" w:color="auto" w:fill="FFFFFF"/>
              </w:rPr>
              <w:br/>
            </w:r>
            <w:r>
              <w:rPr>
                <w:rStyle w:val="Pogrubienie"/>
                <w:rFonts w:ascii="Times New Roman" w:eastAsia="Segoe UI" w:hAnsi="Times New Roman" w:cs="Times New Roman"/>
                <w:bCs/>
                <w:color w:val="0F1115"/>
                <w:sz w:val="15"/>
                <w:szCs w:val="15"/>
                <w:shd w:val="clear" w:color="auto" w:fill="FFFFFF"/>
              </w:rPr>
              <w:t>Multiple Testing:</w:t>
            </w:r>
            <w:r>
              <w:rPr>
                <w:rFonts w:ascii="Times New Roman" w:eastAsia="Segoe UI" w:hAnsi="Times New Roman" w:cs="Times New Roman"/>
                <w:color w:val="0F1115"/>
                <w:sz w:val="15"/>
                <w:szCs w:val="15"/>
                <w:shd w:val="clear" w:color="auto" w:fill="FFFFFF"/>
              </w:rPr>
              <w:t> Benjamini-Hochberg FDR correction applied independently per outcome and exposure category. Associations with FDR q-value &lt; 0.05 considered robust. (p.7).</w:t>
            </w:r>
          </w:p>
        </w:tc>
      </w:tr>
      <w:tr w:rsidR="00EE797D" w14:paraId="644AC0E0" w14:textId="77777777">
        <w:tc>
          <w:tcPr>
            <w:tcW w:w="587" w:type="dxa"/>
          </w:tcPr>
          <w:p w14:paraId="644AC0DB"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tcPr>
          <w:p w14:paraId="644AC0DC"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a)</w:t>
            </w:r>
          </w:p>
        </w:tc>
        <w:tc>
          <w:tcPr>
            <w:tcW w:w="5226" w:type="dxa"/>
          </w:tcPr>
          <w:p w14:paraId="644AC0DD"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Describe how quantitative variables were handled in the analyses (i.e., scale, units, model)</w:t>
            </w:r>
          </w:p>
        </w:tc>
        <w:tc>
          <w:tcPr>
            <w:tcW w:w="746" w:type="dxa"/>
          </w:tcPr>
          <w:p w14:paraId="644AC0DE"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7</w:t>
            </w:r>
          </w:p>
        </w:tc>
        <w:tc>
          <w:tcPr>
            <w:tcW w:w="6109" w:type="dxa"/>
          </w:tcPr>
          <w:p w14:paraId="644AC0DF"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Style w:val="Pogrubienie"/>
                <w:rFonts w:ascii="Times New Roman" w:eastAsia="Segoe UI" w:hAnsi="Times New Roman" w:cs="Times New Roman"/>
                <w:bCs/>
                <w:color w:val="0F1115"/>
                <w:sz w:val="15"/>
                <w:szCs w:val="15"/>
                <w:shd w:val="clear" w:color="auto" w:fill="FFFFFF"/>
              </w:rPr>
              <w:t>Handling of Variables:</w:t>
            </w:r>
            <w:r>
              <w:rPr>
                <w:rFonts w:ascii="Times New Roman" w:eastAsia="Segoe UI" w:hAnsi="Times New Roman" w:cs="Times New Roman"/>
                <w:color w:val="0F1115"/>
                <w:sz w:val="15"/>
                <w:szCs w:val="15"/>
                <w:shd w:val="clear" w:color="auto" w:fill="FFFFFF"/>
              </w:rPr>
              <w:t> “Since the exposure phenotypes (UDIPs) are latent features... all effect sizes were standardized. Consequently, the reported Odds Ratios (ORs) represent the relative risk of the outcome per standard deviation (SD) increase in the exposure phenotype.” (p.7).</w:t>
            </w:r>
          </w:p>
        </w:tc>
      </w:tr>
      <w:tr w:rsidR="00EE797D" w14:paraId="644AC0E6" w14:textId="77777777">
        <w:tc>
          <w:tcPr>
            <w:tcW w:w="587" w:type="dxa"/>
            <w:shd w:val="clear" w:color="auto" w:fill="EEEEEE"/>
          </w:tcPr>
          <w:p w14:paraId="644AC0E1"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shd w:val="clear" w:color="auto" w:fill="EEEEEE"/>
          </w:tcPr>
          <w:p w14:paraId="644AC0E2"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b)</w:t>
            </w:r>
          </w:p>
        </w:tc>
        <w:tc>
          <w:tcPr>
            <w:tcW w:w="5226" w:type="dxa"/>
            <w:shd w:val="clear" w:color="auto" w:fill="EEEEEE"/>
          </w:tcPr>
          <w:p w14:paraId="644AC0E3"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Describe how genetic variants were handled in the analyses and, if applicable, how their weights were selected</w:t>
            </w:r>
          </w:p>
        </w:tc>
        <w:tc>
          <w:tcPr>
            <w:tcW w:w="746" w:type="dxa"/>
            <w:shd w:val="clear" w:color="auto" w:fill="EEEEEE"/>
          </w:tcPr>
          <w:p w14:paraId="644AC0E4"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6-7</w:t>
            </w:r>
          </w:p>
        </w:tc>
        <w:tc>
          <w:tcPr>
            <w:tcW w:w="6109" w:type="dxa"/>
            <w:shd w:val="clear" w:color="auto" w:fill="EEEEEE"/>
          </w:tcPr>
          <w:p w14:paraId="644AC0E5"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Style w:val="Pogrubienie"/>
                <w:rFonts w:ascii="Times New Roman" w:eastAsia="Segoe UI" w:hAnsi="Times New Roman" w:cs="Times New Roman"/>
                <w:bCs/>
                <w:color w:val="0F1115"/>
                <w:sz w:val="15"/>
                <w:szCs w:val="15"/>
                <w:shd w:val="clear" w:color="auto" w:fill="FFFFFF"/>
              </w:rPr>
              <w:t>Variant Handling &amp; Weighting:</w:t>
            </w:r>
            <w:r>
              <w:rPr>
                <w:rFonts w:ascii="Times New Roman" w:eastAsia="Segoe UI" w:hAnsi="Times New Roman" w:cs="Times New Roman"/>
                <w:color w:val="0F1115"/>
                <w:sz w:val="15"/>
                <w:szCs w:val="15"/>
                <w:shd w:val="clear" w:color="auto" w:fill="FFFFFF"/>
              </w:rPr>
              <w:t> Multiple MR methods used (IVW, MR-Egger, etc.). Model choice (Wald ratio, fixed/random effects IVW) based on number of valid SNPs. (p.6-7).</w:t>
            </w:r>
          </w:p>
        </w:tc>
      </w:tr>
      <w:tr w:rsidR="00EE797D" w14:paraId="644AC0EC" w14:textId="77777777">
        <w:tc>
          <w:tcPr>
            <w:tcW w:w="587" w:type="dxa"/>
          </w:tcPr>
          <w:p w14:paraId="644AC0E7"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tcPr>
          <w:p w14:paraId="644AC0E8"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c)</w:t>
            </w:r>
          </w:p>
        </w:tc>
        <w:tc>
          <w:tcPr>
            <w:tcW w:w="5226" w:type="dxa"/>
          </w:tcPr>
          <w:p w14:paraId="644AC0E9"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Describe the MR estimator (e.g. two-stage least squares, Wald ratio) and related statistics. Detail the included covariates and, in case of two-sample MR, whether the same covariate set was used for adjustment in the two samples</w:t>
            </w:r>
          </w:p>
        </w:tc>
        <w:tc>
          <w:tcPr>
            <w:tcW w:w="746" w:type="dxa"/>
          </w:tcPr>
          <w:p w14:paraId="644AC0EA"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6-7</w:t>
            </w:r>
          </w:p>
        </w:tc>
        <w:tc>
          <w:tcPr>
            <w:tcW w:w="6109" w:type="dxa"/>
          </w:tcPr>
          <w:p w14:paraId="644AC0EB"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Style w:val="Pogrubienie"/>
                <w:rFonts w:ascii="Times New Roman" w:eastAsia="Segoe UI" w:hAnsi="Times New Roman" w:cs="Times New Roman"/>
                <w:bCs/>
                <w:color w:val="0F1115"/>
                <w:sz w:val="15"/>
                <w:szCs w:val="15"/>
                <w:shd w:val="clear" w:color="auto" w:fill="FFFFFF"/>
              </w:rPr>
              <w:t>MR Estimators:</w:t>
            </w:r>
            <w:r>
              <w:rPr>
                <w:rFonts w:ascii="Times New Roman" w:eastAsia="Segoe UI" w:hAnsi="Times New Roman" w:cs="Times New Roman"/>
                <w:color w:val="0F1115"/>
                <w:sz w:val="15"/>
                <w:szCs w:val="15"/>
                <w:shd w:val="clear" w:color="auto" w:fill="FFFFFF"/>
              </w:rPr>
              <w:t> Listed in Item 6 above.</w:t>
            </w:r>
            <w:r>
              <w:rPr>
                <w:rFonts w:ascii="Times New Roman" w:eastAsia="Segoe UI" w:hAnsi="Times New Roman" w:cs="Times New Roman"/>
                <w:color w:val="0F1115"/>
                <w:sz w:val="15"/>
                <w:szCs w:val="15"/>
                <w:shd w:val="clear" w:color="auto" w:fill="FFFFFF"/>
              </w:rPr>
              <w:br/>
            </w:r>
            <w:r>
              <w:rPr>
                <w:rStyle w:val="Pogrubienie"/>
                <w:rFonts w:ascii="Times New Roman" w:eastAsia="Segoe UI" w:hAnsi="Times New Roman" w:cs="Times New Roman"/>
                <w:bCs/>
                <w:color w:val="0F1115"/>
                <w:sz w:val="15"/>
                <w:szCs w:val="15"/>
                <w:shd w:val="clear" w:color="auto" w:fill="FFFFFF"/>
              </w:rPr>
              <w:t>Covariates:</w:t>
            </w:r>
            <w:r>
              <w:rPr>
                <w:rFonts w:ascii="Times New Roman" w:eastAsia="Segoe UI" w:hAnsi="Times New Roman" w:cs="Times New Roman"/>
                <w:color w:val="0F1115"/>
                <w:sz w:val="15"/>
                <w:szCs w:val="15"/>
                <w:shd w:val="clear" w:color="auto" w:fill="FFFFFF"/>
              </w:rPr>
              <w:t> For outcome GWAS: “Genetic associations were adjusted for genomic principal components to account for population stratification.” (p.6). Two-sample MR using summary statistics from different consortia.</w:t>
            </w:r>
          </w:p>
        </w:tc>
      </w:tr>
      <w:tr w:rsidR="00EE797D" w14:paraId="644AC0F2" w14:textId="77777777">
        <w:tc>
          <w:tcPr>
            <w:tcW w:w="587" w:type="dxa"/>
            <w:shd w:val="clear" w:color="auto" w:fill="EEEEEE"/>
          </w:tcPr>
          <w:p w14:paraId="644AC0ED"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shd w:val="clear" w:color="auto" w:fill="EEEEEE"/>
          </w:tcPr>
          <w:p w14:paraId="644AC0EE"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d)</w:t>
            </w:r>
          </w:p>
        </w:tc>
        <w:tc>
          <w:tcPr>
            <w:tcW w:w="5226" w:type="dxa"/>
            <w:shd w:val="clear" w:color="auto" w:fill="EEEEEE"/>
          </w:tcPr>
          <w:p w14:paraId="644AC0EF"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Explain how missing data were addressed</w:t>
            </w:r>
          </w:p>
        </w:tc>
        <w:tc>
          <w:tcPr>
            <w:tcW w:w="746" w:type="dxa"/>
            <w:shd w:val="clear" w:color="auto" w:fill="EEEEEE"/>
          </w:tcPr>
          <w:p w14:paraId="644AC0F0"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w:t>
            </w:r>
          </w:p>
        </w:tc>
        <w:tc>
          <w:tcPr>
            <w:tcW w:w="6109" w:type="dxa"/>
            <w:shd w:val="clear" w:color="auto" w:fill="EEEEEE"/>
          </w:tcPr>
          <w:p w14:paraId="644AC0F1"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Not explicitly discussed for missing data in summary statistics.</w:t>
            </w:r>
          </w:p>
        </w:tc>
      </w:tr>
      <w:tr w:rsidR="00EE797D" w14:paraId="644AC0F8" w14:textId="77777777">
        <w:tc>
          <w:tcPr>
            <w:tcW w:w="587" w:type="dxa"/>
          </w:tcPr>
          <w:p w14:paraId="644AC0F3"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tcPr>
          <w:p w14:paraId="644AC0F4"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e)</w:t>
            </w:r>
          </w:p>
        </w:tc>
        <w:tc>
          <w:tcPr>
            <w:tcW w:w="5226" w:type="dxa"/>
          </w:tcPr>
          <w:p w14:paraId="644AC0F5"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If applicable, indicate how multiple testing was addressed</w:t>
            </w:r>
          </w:p>
        </w:tc>
        <w:tc>
          <w:tcPr>
            <w:tcW w:w="746" w:type="dxa"/>
          </w:tcPr>
          <w:p w14:paraId="644AC0F6"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7</w:t>
            </w:r>
          </w:p>
        </w:tc>
        <w:tc>
          <w:tcPr>
            <w:tcW w:w="6109" w:type="dxa"/>
          </w:tcPr>
          <w:p w14:paraId="644AC0F7"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Style w:val="Pogrubienie"/>
                <w:rFonts w:ascii="Times New Roman" w:eastAsia="Segoe UI" w:hAnsi="Times New Roman" w:cs="Times New Roman"/>
                <w:bCs/>
                <w:color w:val="0F1115"/>
                <w:sz w:val="15"/>
                <w:szCs w:val="15"/>
                <w:shd w:val="clear" w:color="auto" w:fill="FFFFFF"/>
              </w:rPr>
              <w:t>Multiple Testing Correction:</w:t>
            </w:r>
            <w:r>
              <w:rPr>
                <w:rFonts w:ascii="Times New Roman" w:eastAsia="Segoe UI" w:hAnsi="Times New Roman" w:cs="Times New Roman"/>
                <w:color w:val="0F1115"/>
                <w:sz w:val="15"/>
                <w:szCs w:val="15"/>
                <w:shd w:val="clear" w:color="auto" w:fill="FFFFFF"/>
              </w:rPr>
              <w:t> “To account for multiple comparisons... we implemented the Benjamini–Hochberg (BH) procedure... We defined robust causal associations as those with an FDR-adjusted P-value (q-value) &lt; 0.05.” (p.7).</w:t>
            </w:r>
          </w:p>
        </w:tc>
      </w:tr>
      <w:tr w:rsidR="00EE797D" w14:paraId="644AC0FE" w14:textId="77777777">
        <w:tc>
          <w:tcPr>
            <w:tcW w:w="587" w:type="dxa"/>
            <w:shd w:val="clear" w:color="auto" w:fill="EEEEEE"/>
          </w:tcPr>
          <w:p w14:paraId="644AC0F9" w14:textId="77777777" w:rsidR="00EE797D" w:rsidRDefault="00C0373C">
            <w:pPr>
              <w:spacing w:beforeLines="40" w:before="96" w:afterLines="40" w:after="96" w:line="24" w:lineRule="atLeast"/>
              <w:rPr>
                <w:rFonts w:ascii="Times New Roman" w:eastAsia="Times New Roman" w:hAnsi="Times New Roman" w:cs="Times New Roman"/>
                <w:b/>
                <w:bCs/>
                <w:sz w:val="18"/>
                <w:szCs w:val="18"/>
                <w:lang w:val="en-GB" w:eastAsia="en-GB"/>
              </w:rPr>
            </w:pPr>
            <w:r>
              <w:rPr>
                <w:rFonts w:ascii="Times New Roman" w:eastAsia="Times New Roman" w:hAnsi="Times New Roman" w:cs="Times New Roman"/>
                <w:sz w:val="18"/>
                <w:szCs w:val="18"/>
                <w:lang w:val="en-GB" w:eastAsia="en-GB"/>
              </w:rPr>
              <w:t>7</w:t>
            </w:r>
          </w:p>
        </w:tc>
        <w:tc>
          <w:tcPr>
            <w:tcW w:w="1822" w:type="dxa"/>
            <w:shd w:val="clear" w:color="auto" w:fill="EEEEEE"/>
          </w:tcPr>
          <w:p w14:paraId="644AC0FA"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b/>
                <w:bCs/>
                <w:sz w:val="18"/>
                <w:szCs w:val="18"/>
                <w:lang w:val="en-GB" w:eastAsia="en-GB"/>
              </w:rPr>
              <w:t>Assessment of assumptions</w:t>
            </w:r>
          </w:p>
        </w:tc>
        <w:tc>
          <w:tcPr>
            <w:tcW w:w="5226" w:type="dxa"/>
            <w:shd w:val="clear" w:color="auto" w:fill="EEEEEE"/>
          </w:tcPr>
          <w:p w14:paraId="644AC0FB" w14:textId="77777777" w:rsidR="00EE797D" w:rsidRDefault="00C0373C">
            <w:pPr>
              <w:tabs>
                <w:tab w:val="left" w:pos="1620"/>
              </w:tabs>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Describe any methods or prior knowledge used to assess the assumptions or justify their validity</w:t>
            </w:r>
            <w:r>
              <w:rPr>
                <w:rFonts w:ascii="Times New Roman" w:eastAsia="Cambria" w:hAnsi="Times New Roman" w:cs="Times New Roman"/>
                <w:sz w:val="18"/>
                <w:szCs w:val="18"/>
                <w:lang w:val="en-GB" w:eastAsia="en-US"/>
              </w:rPr>
              <w:tab/>
            </w:r>
          </w:p>
        </w:tc>
        <w:tc>
          <w:tcPr>
            <w:tcW w:w="746" w:type="dxa"/>
            <w:shd w:val="clear" w:color="auto" w:fill="EEEEEE"/>
          </w:tcPr>
          <w:p w14:paraId="644AC0FC" w14:textId="77777777" w:rsidR="00EE797D" w:rsidRDefault="00C0373C">
            <w:pPr>
              <w:tabs>
                <w:tab w:val="left" w:pos="1620"/>
              </w:tabs>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6-7, 8</w:t>
            </w:r>
          </w:p>
        </w:tc>
        <w:tc>
          <w:tcPr>
            <w:tcW w:w="6109" w:type="dxa"/>
            <w:shd w:val="clear" w:color="auto" w:fill="EEEEEE"/>
          </w:tcPr>
          <w:p w14:paraId="644AC0FD" w14:textId="77777777" w:rsidR="00EE797D" w:rsidRDefault="00C0373C">
            <w:pPr>
              <w:tabs>
                <w:tab w:val="left" w:pos="1620"/>
              </w:tabs>
              <w:spacing w:beforeLines="40" w:before="96" w:afterLines="40" w:after="96" w:line="24" w:lineRule="atLeast"/>
              <w:rPr>
                <w:rFonts w:ascii="Times New Roman" w:eastAsia="Times New Roman" w:hAnsi="Times New Roman" w:cs="Times New Roman"/>
                <w:sz w:val="18"/>
                <w:szCs w:val="18"/>
                <w:lang w:val="en-GB" w:eastAsia="en-GB"/>
              </w:rPr>
            </w:pPr>
            <w:r>
              <w:rPr>
                <w:rStyle w:val="Pogrubienie"/>
                <w:rFonts w:ascii="Times New Roman" w:eastAsia="Segoe UI" w:hAnsi="Times New Roman" w:cs="Times New Roman"/>
                <w:bCs/>
                <w:color w:val="0F1115"/>
                <w:sz w:val="15"/>
                <w:szCs w:val="15"/>
                <w:shd w:val="clear" w:color="auto" w:fill="FFFFFF"/>
              </w:rPr>
              <w:t>Instrument Strength:</w:t>
            </w:r>
            <w:r>
              <w:rPr>
                <w:rFonts w:ascii="Times New Roman" w:eastAsia="Segoe UI" w:hAnsi="Times New Roman" w:cs="Times New Roman"/>
                <w:color w:val="0F1115"/>
                <w:sz w:val="15"/>
                <w:szCs w:val="15"/>
                <w:shd w:val="clear" w:color="auto" w:fill="FFFFFF"/>
              </w:rPr>
              <w:t> F-statistic calculated (p.7).</w:t>
            </w:r>
            <w:r>
              <w:rPr>
                <w:rFonts w:ascii="Times New Roman" w:eastAsia="Segoe UI" w:hAnsi="Times New Roman" w:cs="Times New Roman"/>
                <w:color w:val="0F1115"/>
                <w:sz w:val="15"/>
                <w:szCs w:val="15"/>
                <w:shd w:val="clear" w:color="auto" w:fill="FFFFFF"/>
              </w:rPr>
              <w:br/>
            </w:r>
            <w:r>
              <w:rPr>
                <w:rStyle w:val="Pogrubienie"/>
                <w:rFonts w:ascii="Times New Roman" w:eastAsia="Segoe UI" w:hAnsi="Times New Roman" w:cs="Times New Roman"/>
                <w:bCs/>
                <w:color w:val="0F1115"/>
                <w:sz w:val="15"/>
                <w:szCs w:val="15"/>
                <w:shd w:val="clear" w:color="auto" w:fill="FFFFFF"/>
              </w:rPr>
              <w:t>Pleiotropy &amp; Validity Assessment:</w:t>
            </w:r>
            <w:r>
              <w:rPr>
                <w:rFonts w:ascii="Times New Roman" w:eastAsia="Segoe UI" w:hAnsi="Times New Roman" w:cs="Times New Roman"/>
                <w:color w:val="0F1115"/>
                <w:sz w:val="15"/>
                <w:szCs w:val="15"/>
                <w:shd w:val="clear" w:color="auto" w:fill="FFFFFF"/>
              </w:rPr>
              <w:t> Sensitivity analyses described in Section 2.5 (heterogeneity I², Cochrane's Q, Egger intercept, MR-PRESSO, leave-one-out) are used to assess assumptions. (p.8). For SMR, HEIDI test used to distinguish causality from linkage (p.8).</w:t>
            </w:r>
          </w:p>
        </w:tc>
      </w:tr>
      <w:tr w:rsidR="00EE797D" w14:paraId="644AC104" w14:textId="77777777">
        <w:tc>
          <w:tcPr>
            <w:tcW w:w="587" w:type="dxa"/>
          </w:tcPr>
          <w:p w14:paraId="644AC0FF" w14:textId="77777777" w:rsidR="00EE797D" w:rsidRDefault="00C0373C">
            <w:pPr>
              <w:spacing w:beforeLines="40" w:before="96" w:afterLines="40" w:after="96" w:line="24" w:lineRule="atLeast"/>
              <w:rPr>
                <w:rFonts w:ascii="Times New Roman" w:eastAsia="Times New Roman" w:hAnsi="Times New Roman" w:cs="Times New Roman"/>
                <w:b/>
                <w:bCs/>
                <w:sz w:val="18"/>
                <w:szCs w:val="18"/>
                <w:lang w:val="en-GB" w:eastAsia="en-GB"/>
              </w:rPr>
            </w:pPr>
            <w:r>
              <w:rPr>
                <w:rFonts w:ascii="Times New Roman" w:eastAsia="Times New Roman" w:hAnsi="Times New Roman" w:cs="Times New Roman"/>
                <w:sz w:val="18"/>
                <w:szCs w:val="18"/>
                <w:lang w:val="en-GB" w:eastAsia="en-GB"/>
              </w:rPr>
              <w:t>8</w:t>
            </w:r>
          </w:p>
        </w:tc>
        <w:tc>
          <w:tcPr>
            <w:tcW w:w="1822" w:type="dxa"/>
          </w:tcPr>
          <w:p w14:paraId="644AC100"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b/>
                <w:bCs/>
                <w:sz w:val="18"/>
                <w:szCs w:val="18"/>
                <w:lang w:val="en-GB" w:eastAsia="en-GB"/>
              </w:rPr>
              <w:t>Sensitivity analyses and additional analyses</w:t>
            </w:r>
          </w:p>
        </w:tc>
        <w:tc>
          <w:tcPr>
            <w:tcW w:w="5226" w:type="dxa"/>
          </w:tcPr>
          <w:p w14:paraId="644AC101"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Describe any sensitivity analyses or additional analyses performed (e.g. comparison of effect estimates from different approaches, independent replication, bias analytic techniques, validation of instruments, simulations)</w:t>
            </w:r>
          </w:p>
        </w:tc>
        <w:tc>
          <w:tcPr>
            <w:tcW w:w="746" w:type="dxa"/>
          </w:tcPr>
          <w:p w14:paraId="644AC102"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8</w:t>
            </w:r>
          </w:p>
        </w:tc>
        <w:tc>
          <w:tcPr>
            <w:tcW w:w="6109" w:type="dxa"/>
          </w:tcPr>
          <w:p w14:paraId="644AC103"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Style w:val="Pogrubienie"/>
                <w:rFonts w:ascii="Times New Roman" w:eastAsia="Segoe UI" w:hAnsi="Times New Roman" w:cs="Times New Roman"/>
                <w:bCs/>
                <w:color w:val="0F1115"/>
                <w:sz w:val="15"/>
                <w:szCs w:val="15"/>
                <w:shd w:val="clear" w:color="auto" w:fill="FFFFFF"/>
              </w:rPr>
              <w:t>Sensitivity Analyses:</w:t>
            </w:r>
            <w:r>
              <w:rPr>
                <w:rFonts w:ascii="Times New Roman" w:eastAsia="Segoe UI" w:hAnsi="Times New Roman" w:cs="Times New Roman"/>
                <w:color w:val="0F1115"/>
                <w:sz w:val="15"/>
                <w:szCs w:val="15"/>
                <w:shd w:val="clear" w:color="auto" w:fill="FFFFFF"/>
              </w:rPr>
              <w:t> “Sensitivity analyses included heterogeneity I² statistics, Cochrane's Q test, Egger intercept test, MR-PRESSO, and leave-one-out validation.” (Abstract, p.8).</w:t>
            </w:r>
            <w:r>
              <w:rPr>
                <w:rFonts w:ascii="Times New Roman" w:eastAsia="Segoe UI" w:hAnsi="Times New Roman" w:cs="Times New Roman"/>
                <w:color w:val="0F1115"/>
                <w:sz w:val="15"/>
                <w:szCs w:val="15"/>
                <w:shd w:val="clear" w:color="auto" w:fill="FFFFFF"/>
              </w:rPr>
              <w:br/>
            </w:r>
            <w:r>
              <w:rPr>
                <w:rStyle w:val="Pogrubienie"/>
                <w:rFonts w:ascii="Times New Roman" w:eastAsia="Segoe UI" w:hAnsi="Times New Roman" w:cs="Times New Roman"/>
                <w:bCs/>
                <w:color w:val="0F1115"/>
                <w:sz w:val="15"/>
                <w:szCs w:val="15"/>
                <w:shd w:val="clear" w:color="auto" w:fill="FFFFFF"/>
              </w:rPr>
              <w:t>Additional Analysis:</w:t>
            </w:r>
            <w:r>
              <w:rPr>
                <w:rFonts w:ascii="Times New Roman" w:eastAsia="Segoe UI" w:hAnsi="Times New Roman" w:cs="Times New Roman"/>
                <w:color w:val="0F1115"/>
                <w:sz w:val="15"/>
                <w:szCs w:val="15"/>
                <w:shd w:val="clear" w:color="auto" w:fill="FFFFFF"/>
              </w:rPr>
              <w:t> Summary-data-based MR (SMR) with HEIDI test applied to gene expression data. (Abstract, p.8).</w:t>
            </w:r>
          </w:p>
        </w:tc>
      </w:tr>
      <w:tr w:rsidR="00EE797D" w14:paraId="644AC10A" w14:textId="77777777">
        <w:tc>
          <w:tcPr>
            <w:tcW w:w="587" w:type="dxa"/>
            <w:shd w:val="clear" w:color="auto" w:fill="EEEEEE"/>
          </w:tcPr>
          <w:p w14:paraId="644AC105" w14:textId="77777777" w:rsidR="00EE797D" w:rsidRDefault="00C0373C">
            <w:pPr>
              <w:spacing w:beforeLines="40" w:before="96" w:afterLines="40" w:after="96" w:line="24" w:lineRule="atLeast"/>
              <w:rPr>
                <w:rFonts w:ascii="Times New Roman" w:eastAsia="Times New Roman" w:hAnsi="Times New Roman" w:cs="Times New Roman"/>
                <w:b/>
                <w:bCs/>
                <w:sz w:val="18"/>
                <w:szCs w:val="18"/>
                <w:lang w:val="en-GB" w:eastAsia="en-GB"/>
              </w:rPr>
            </w:pPr>
            <w:r>
              <w:rPr>
                <w:rFonts w:ascii="Times New Roman" w:eastAsia="Times New Roman" w:hAnsi="Times New Roman" w:cs="Times New Roman"/>
                <w:sz w:val="18"/>
                <w:szCs w:val="18"/>
                <w:lang w:val="en-GB" w:eastAsia="en-GB"/>
              </w:rPr>
              <w:lastRenderedPageBreak/>
              <w:t>9</w:t>
            </w:r>
          </w:p>
        </w:tc>
        <w:tc>
          <w:tcPr>
            <w:tcW w:w="1822" w:type="dxa"/>
            <w:shd w:val="clear" w:color="auto" w:fill="EEEEEE"/>
          </w:tcPr>
          <w:p w14:paraId="644AC106"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b/>
                <w:bCs/>
                <w:sz w:val="18"/>
                <w:szCs w:val="18"/>
                <w:lang w:val="en-GB" w:eastAsia="en-GB"/>
              </w:rPr>
              <w:t>Software and pre-registration</w:t>
            </w:r>
          </w:p>
        </w:tc>
        <w:tc>
          <w:tcPr>
            <w:tcW w:w="5226" w:type="dxa"/>
            <w:shd w:val="clear" w:color="auto" w:fill="EEEEEE"/>
          </w:tcPr>
          <w:p w14:paraId="644AC107" w14:textId="77777777" w:rsidR="00EE797D" w:rsidRDefault="00EE797D">
            <w:pPr>
              <w:spacing w:beforeLines="40" w:before="96" w:afterLines="40" w:after="96" w:line="24" w:lineRule="atLeast"/>
              <w:rPr>
                <w:rFonts w:ascii="Times New Roman" w:eastAsia="Cambria" w:hAnsi="Times New Roman" w:cs="Times New Roman"/>
                <w:sz w:val="18"/>
                <w:szCs w:val="18"/>
                <w:lang w:val="en-GB" w:eastAsia="en-US"/>
              </w:rPr>
            </w:pPr>
          </w:p>
        </w:tc>
        <w:tc>
          <w:tcPr>
            <w:tcW w:w="746" w:type="dxa"/>
            <w:shd w:val="clear" w:color="auto" w:fill="EEEEEE"/>
          </w:tcPr>
          <w:p w14:paraId="644AC108"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8</w:t>
            </w:r>
          </w:p>
        </w:tc>
        <w:tc>
          <w:tcPr>
            <w:tcW w:w="6109" w:type="dxa"/>
            <w:shd w:val="clear" w:color="auto" w:fill="EEEEEE"/>
          </w:tcPr>
          <w:p w14:paraId="644AC109"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Style w:val="Pogrubienie"/>
                <w:rFonts w:ascii="Times New Roman" w:eastAsia="Segoe UI" w:hAnsi="Times New Roman" w:cs="Times New Roman"/>
                <w:bCs/>
                <w:color w:val="0F1115"/>
                <w:sz w:val="15"/>
                <w:szCs w:val="15"/>
                <w:shd w:val="clear" w:color="auto" w:fill="FFFFFF"/>
              </w:rPr>
              <w:t>Software:</w:t>
            </w:r>
            <w:r>
              <w:rPr>
                <w:rFonts w:ascii="Times New Roman" w:eastAsia="Segoe UI" w:hAnsi="Times New Roman" w:cs="Times New Roman"/>
                <w:color w:val="0F1115"/>
                <w:sz w:val="15"/>
                <w:szCs w:val="15"/>
                <w:shd w:val="clear" w:color="auto" w:fill="FFFFFF"/>
              </w:rPr>
              <w:t> “All statistical analyses were performed using R software (version 4.2.1) with relevant statistical packages.” (p.8).</w:t>
            </w:r>
            <w:r>
              <w:rPr>
                <w:rFonts w:ascii="Times New Roman" w:eastAsia="Segoe UI" w:hAnsi="Times New Roman" w:cs="Times New Roman"/>
                <w:color w:val="0F1115"/>
                <w:sz w:val="15"/>
                <w:szCs w:val="15"/>
                <w:shd w:val="clear" w:color="auto" w:fill="FFFFFF"/>
              </w:rPr>
              <w:br/>
            </w:r>
            <w:r>
              <w:rPr>
                <w:rStyle w:val="Pogrubienie"/>
                <w:rFonts w:ascii="Times New Roman" w:eastAsia="Segoe UI" w:hAnsi="Times New Roman" w:cs="Times New Roman"/>
                <w:bCs/>
                <w:color w:val="0F1115"/>
                <w:sz w:val="15"/>
                <w:szCs w:val="15"/>
                <w:shd w:val="clear" w:color="auto" w:fill="FFFFFF"/>
              </w:rPr>
              <w:t>Pre-registration:</w:t>
            </w:r>
            <w:r>
              <w:rPr>
                <w:rFonts w:ascii="Times New Roman" w:eastAsia="Segoe UI" w:hAnsi="Times New Roman" w:cs="Times New Roman"/>
                <w:color w:val="0F1115"/>
                <w:sz w:val="15"/>
                <w:szCs w:val="15"/>
                <w:shd w:val="clear" w:color="auto" w:fill="FFFFFF"/>
              </w:rPr>
              <w:t> Not mentioned.</w:t>
            </w:r>
          </w:p>
        </w:tc>
      </w:tr>
      <w:tr w:rsidR="00EE797D" w14:paraId="644AC110" w14:textId="77777777">
        <w:tc>
          <w:tcPr>
            <w:tcW w:w="587" w:type="dxa"/>
          </w:tcPr>
          <w:p w14:paraId="644AC10B"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tcPr>
          <w:p w14:paraId="644AC10C"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a)</w:t>
            </w:r>
          </w:p>
        </w:tc>
        <w:tc>
          <w:tcPr>
            <w:tcW w:w="5226" w:type="dxa"/>
          </w:tcPr>
          <w:p w14:paraId="644AC10D"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Name statistical software and package(s), including version and settings used </w:t>
            </w:r>
          </w:p>
        </w:tc>
        <w:tc>
          <w:tcPr>
            <w:tcW w:w="746" w:type="dxa"/>
          </w:tcPr>
          <w:p w14:paraId="644AC10E"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8</w:t>
            </w:r>
          </w:p>
        </w:tc>
        <w:tc>
          <w:tcPr>
            <w:tcW w:w="6109" w:type="dxa"/>
          </w:tcPr>
          <w:p w14:paraId="644AC10F"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Style w:val="Pogrubienie"/>
                <w:rFonts w:ascii="Times New Roman" w:eastAsia="Segoe UI" w:hAnsi="Times New Roman" w:cs="Times New Roman"/>
                <w:bCs/>
                <w:color w:val="0F1115"/>
                <w:sz w:val="15"/>
                <w:szCs w:val="15"/>
                <w:shd w:val="clear" w:color="auto" w:fill="FFFFFF"/>
              </w:rPr>
              <w:t>Software:</w:t>
            </w:r>
            <w:r>
              <w:rPr>
                <w:rFonts w:ascii="Times New Roman" w:eastAsia="Segoe UI" w:hAnsi="Times New Roman" w:cs="Times New Roman"/>
                <w:color w:val="0F1115"/>
                <w:sz w:val="15"/>
                <w:szCs w:val="15"/>
                <w:shd w:val="clear" w:color="auto" w:fill="FFFFFF"/>
              </w:rPr>
              <w:t> “All statistical analyses were performed using R software (version 4.2.1) with relevant statistical packages.” (p.8).</w:t>
            </w:r>
          </w:p>
        </w:tc>
      </w:tr>
      <w:tr w:rsidR="00EE797D" w14:paraId="644AC116" w14:textId="77777777">
        <w:tc>
          <w:tcPr>
            <w:tcW w:w="587" w:type="dxa"/>
            <w:tcBorders>
              <w:bottom w:val="single" w:sz="6" w:space="0" w:color="7F7F7F"/>
            </w:tcBorders>
            <w:shd w:val="clear" w:color="auto" w:fill="EEEEEE"/>
          </w:tcPr>
          <w:p w14:paraId="644AC111"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tcBorders>
              <w:bottom w:val="single" w:sz="6" w:space="0" w:color="7F7F7F"/>
            </w:tcBorders>
            <w:shd w:val="clear" w:color="auto" w:fill="EEEEEE"/>
          </w:tcPr>
          <w:p w14:paraId="644AC112"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b)</w:t>
            </w:r>
          </w:p>
        </w:tc>
        <w:tc>
          <w:tcPr>
            <w:tcW w:w="5226" w:type="dxa"/>
            <w:tcBorders>
              <w:bottom w:val="single" w:sz="6" w:space="0" w:color="7F7F7F"/>
            </w:tcBorders>
            <w:shd w:val="clear" w:color="auto" w:fill="EEEEEE"/>
          </w:tcPr>
          <w:p w14:paraId="644AC113"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State whether the study protocol and details were pre-registered (as well as when and where)</w:t>
            </w:r>
          </w:p>
        </w:tc>
        <w:tc>
          <w:tcPr>
            <w:tcW w:w="746" w:type="dxa"/>
            <w:tcBorders>
              <w:bottom w:val="single" w:sz="6" w:space="0" w:color="7F7F7F"/>
            </w:tcBorders>
            <w:shd w:val="clear" w:color="auto" w:fill="EEEEEE"/>
          </w:tcPr>
          <w:p w14:paraId="644AC114"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w:t>
            </w:r>
          </w:p>
        </w:tc>
        <w:tc>
          <w:tcPr>
            <w:tcW w:w="6109" w:type="dxa"/>
            <w:tcBorders>
              <w:bottom w:val="single" w:sz="6" w:space="0" w:color="7F7F7F"/>
            </w:tcBorders>
            <w:shd w:val="clear" w:color="auto" w:fill="EEEEEE"/>
          </w:tcPr>
          <w:p w14:paraId="644AC115"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Not mentioned.</w:t>
            </w:r>
          </w:p>
        </w:tc>
      </w:tr>
      <w:tr w:rsidR="00EE797D" w14:paraId="644AC11C" w14:textId="77777777">
        <w:tc>
          <w:tcPr>
            <w:tcW w:w="587" w:type="dxa"/>
            <w:tcBorders>
              <w:top w:val="single" w:sz="6" w:space="0" w:color="7F7F7F"/>
            </w:tcBorders>
          </w:tcPr>
          <w:p w14:paraId="644AC117" w14:textId="77777777" w:rsidR="00EE797D" w:rsidRDefault="00EE797D">
            <w:pPr>
              <w:spacing w:beforeLines="40" w:before="96" w:afterLines="40" w:after="96" w:line="24" w:lineRule="atLeast"/>
              <w:rPr>
                <w:rFonts w:ascii="Times New Roman" w:eastAsia="Times New Roman" w:hAnsi="Times New Roman" w:cs="Times New Roman"/>
                <w:b/>
                <w:bCs/>
                <w:sz w:val="18"/>
                <w:szCs w:val="18"/>
                <w:lang w:val="en-GB" w:eastAsia="en-GB"/>
              </w:rPr>
            </w:pPr>
          </w:p>
        </w:tc>
        <w:tc>
          <w:tcPr>
            <w:tcW w:w="1822" w:type="dxa"/>
            <w:tcBorders>
              <w:top w:val="single" w:sz="6" w:space="0" w:color="7F7F7F"/>
            </w:tcBorders>
          </w:tcPr>
          <w:p w14:paraId="644AC118"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b/>
                <w:bCs/>
                <w:sz w:val="18"/>
                <w:szCs w:val="18"/>
                <w:lang w:val="en-GB" w:eastAsia="en-GB"/>
              </w:rPr>
              <w:t>RESULTS</w:t>
            </w:r>
          </w:p>
        </w:tc>
        <w:tc>
          <w:tcPr>
            <w:tcW w:w="5226" w:type="dxa"/>
            <w:tcBorders>
              <w:top w:val="single" w:sz="6" w:space="0" w:color="7F7F7F"/>
            </w:tcBorders>
          </w:tcPr>
          <w:p w14:paraId="644AC119" w14:textId="77777777" w:rsidR="00EE797D" w:rsidRDefault="00EE797D">
            <w:pPr>
              <w:spacing w:beforeLines="40" w:before="96" w:afterLines="40" w:after="96" w:line="24" w:lineRule="atLeast"/>
              <w:rPr>
                <w:rFonts w:ascii="Times New Roman" w:eastAsia="Cambria" w:hAnsi="Times New Roman" w:cs="Times New Roman"/>
                <w:sz w:val="18"/>
                <w:szCs w:val="18"/>
                <w:lang w:val="en-GB" w:eastAsia="en-US"/>
              </w:rPr>
            </w:pPr>
          </w:p>
        </w:tc>
        <w:tc>
          <w:tcPr>
            <w:tcW w:w="746" w:type="dxa"/>
            <w:tcBorders>
              <w:top w:val="single" w:sz="6" w:space="0" w:color="7F7F7F"/>
            </w:tcBorders>
          </w:tcPr>
          <w:p w14:paraId="644AC11A" w14:textId="77777777" w:rsidR="00EE797D" w:rsidRDefault="00EE797D">
            <w:pPr>
              <w:spacing w:beforeLines="40" w:before="96" w:afterLines="40" w:after="96" w:line="24" w:lineRule="atLeast"/>
              <w:rPr>
                <w:rFonts w:ascii="Times New Roman" w:eastAsia="Cambria" w:hAnsi="Times New Roman" w:cs="Times New Roman"/>
                <w:sz w:val="18"/>
                <w:szCs w:val="18"/>
                <w:lang w:val="en-GB" w:eastAsia="en-US"/>
              </w:rPr>
            </w:pPr>
          </w:p>
        </w:tc>
        <w:tc>
          <w:tcPr>
            <w:tcW w:w="6109" w:type="dxa"/>
            <w:tcBorders>
              <w:top w:val="single" w:sz="6" w:space="0" w:color="7F7F7F"/>
            </w:tcBorders>
          </w:tcPr>
          <w:p w14:paraId="644AC11B" w14:textId="77777777" w:rsidR="00EE797D" w:rsidRDefault="00EE797D">
            <w:pPr>
              <w:spacing w:beforeLines="40" w:before="96" w:afterLines="40" w:after="96" w:line="24" w:lineRule="atLeast"/>
              <w:rPr>
                <w:rFonts w:ascii="Times New Roman" w:eastAsia="Cambria" w:hAnsi="Times New Roman" w:cs="Times New Roman"/>
                <w:sz w:val="18"/>
                <w:szCs w:val="18"/>
                <w:lang w:val="en-GB" w:eastAsia="en-US"/>
              </w:rPr>
            </w:pPr>
          </w:p>
        </w:tc>
      </w:tr>
      <w:tr w:rsidR="00EE797D" w14:paraId="644AC122" w14:textId="77777777">
        <w:tc>
          <w:tcPr>
            <w:tcW w:w="587" w:type="dxa"/>
            <w:shd w:val="clear" w:color="auto" w:fill="EEEEEE"/>
          </w:tcPr>
          <w:p w14:paraId="644AC11D" w14:textId="77777777" w:rsidR="00EE797D" w:rsidRDefault="00C0373C">
            <w:pPr>
              <w:spacing w:beforeLines="40" w:before="96" w:afterLines="40" w:after="96" w:line="24" w:lineRule="atLeast"/>
              <w:rPr>
                <w:rFonts w:ascii="Times New Roman" w:eastAsia="Times New Roman" w:hAnsi="Times New Roman" w:cs="Times New Roman"/>
                <w:b/>
                <w:bCs/>
                <w:sz w:val="18"/>
                <w:szCs w:val="18"/>
                <w:lang w:val="en-GB" w:eastAsia="en-GB"/>
              </w:rPr>
            </w:pPr>
            <w:r>
              <w:rPr>
                <w:rFonts w:ascii="Times New Roman" w:eastAsia="Times New Roman" w:hAnsi="Times New Roman" w:cs="Times New Roman"/>
                <w:sz w:val="18"/>
                <w:szCs w:val="18"/>
                <w:lang w:val="en-GB" w:eastAsia="en-GB"/>
              </w:rPr>
              <w:t>10</w:t>
            </w:r>
          </w:p>
        </w:tc>
        <w:tc>
          <w:tcPr>
            <w:tcW w:w="1822" w:type="dxa"/>
            <w:shd w:val="clear" w:color="auto" w:fill="EEEEEE"/>
          </w:tcPr>
          <w:p w14:paraId="644AC11E"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b/>
                <w:bCs/>
                <w:sz w:val="18"/>
                <w:szCs w:val="18"/>
                <w:lang w:val="en-GB" w:eastAsia="en-GB"/>
              </w:rPr>
              <w:t>Descriptive data</w:t>
            </w:r>
          </w:p>
        </w:tc>
        <w:tc>
          <w:tcPr>
            <w:tcW w:w="5226" w:type="dxa"/>
            <w:shd w:val="clear" w:color="auto" w:fill="EEEEEE"/>
          </w:tcPr>
          <w:p w14:paraId="644AC11F" w14:textId="77777777" w:rsidR="00EE797D" w:rsidRDefault="00EE797D">
            <w:pPr>
              <w:spacing w:beforeLines="40" w:before="96" w:afterLines="40" w:after="96" w:line="24" w:lineRule="atLeast"/>
              <w:rPr>
                <w:rFonts w:ascii="Times New Roman" w:eastAsia="Cambria" w:hAnsi="Times New Roman" w:cs="Times New Roman"/>
                <w:sz w:val="18"/>
                <w:szCs w:val="18"/>
                <w:lang w:val="en-GB" w:eastAsia="en-US"/>
              </w:rPr>
            </w:pPr>
          </w:p>
        </w:tc>
        <w:tc>
          <w:tcPr>
            <w:tcW w:w="746" w:type="dxa"/>
            <w:shd w:val="clear" w:color="auto" w:fill="EEEEEE"/>
          </w:tcPr>
          <w:p w14:paraId="644AC120" w14:textId="77777777" w:rsidR="00EE797D" w:rsidRDefault="00EE797D">
            <w:pPr>
              <w:spacing w:beforeLines="40" w:before="96" w:afterLines="40" w:after="96" w:line="24" w:lineRule="atLeast"/>
              <w:rPr>
                <w:rFonts w:ascii="Times New Roman" w:eastAsia="Cambria" w:hAnsi="Times New Roman" w:cs="Times New Roman"/>
                <w:sz w:val="18"/>
                <w:szCs w:val="18"/>
                <w:lang w:val="en-GB" w:eastAsia="en-US"/>
              </w:rPr>
            </w:pPr>
          </w:p>
        </w:tc>
        <w:tc>
          <w:tcPr>
            <w:tcW w:w="6109" w:type="dxa"/>
            <w:shd w:val="clear" w:color="auto" w:fill="EEEEEE"/>
          </w:tcPr>
          <w:p w14:paraId="644AC121" w14:textId="77777777" w:rsidR="00EE797D" w:rsidRDefault="00EE797D">
            <w:pPr>
              <w:spacing w:beforeLines="40" w:before="96" w:afterLines="40" w:after="96" w:line="24" w:lineRule="atLeast"/>
              <w:rPr>
                <w:rFonts w:ascii="Times New Roman" w:eastAsia="Cambria" w:hAnsi="Times New Roman" w:cs="Times New Roman"/>
                <w:sz w:val="18"/>
                <w:szCs w:val="18"/>
                <w:lang w:val="en-GB" w:eastAsia="en-US"/>
              </w:rPr>
            </w:pPr>
          </w:p>
        </w:tc>
      </w:tr>
      <w:tr w:rsidR="00EE797D" w14:paraId="644AC128" w14:textId="77777777">
        <w:tc>
          <w:tcPr>
            <w:tcW w:w="587" w:type="dxa"/>
          </w:tcPr>
          <w:p w14:paraId="644AC123"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tcPr>
          <w:p w14:paraId="644AC124"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a)</w:t>
            </w:r>
          </w:p>
        </w:tc>
        <w:tc>
          <w:tcPr>
            <w:tcW w:w="5226" w:type="dxa"/>
          </w:tcPr>
          <w:p w14:paraId="644AC125"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Report the numbers of individuals at each stage of included studies and reasons for exclusion. Consider use of a flow diagram</w:t>
            </w:r>
          </w:p>
        </w:tc>
        <w:tc>
          <w:tcPr>
            <w:tcW w:w="746" w:type="dxa"/>
          </w:tcPr>
          <w:p w14:paraId="644AC126"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5-6, 21</w:t>
            </w:r>
          </w:p>
        </w:tc>
        <w:tc>
          <w:tcPr>
            <w:tcW w:w="6109" w:type="dxa"/>
          </w:tcPr>
          <w:p w14:paraId="644AC127"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Style w:val="Pogrubienie"/>
                <w:rFonts w:ascii="Times New Roman" w:eastAsia="Segoe UI" w:hAnsi="Times New Roman" w:cs="Times New Roman"/>
                <w:bCs/>
                <w:color w:val="0F1115"/>
                <w:sz w:val="15"/>
                <w:szCs w:val="15"/>
                <w:shd w:val="clear" w:color="auto" w:fill="FFFFFF"/>
              </w:rPr>
              <w:t>Sample Sizes:</w:t>
            </w:r>
            <w:r>
              <w:rPr>
                <w:rFonts w:ascii="Times New Roman" w:eastAsia="Segoe UI" w:hAnsi="Times New Roman" w:cs="Times New Roman"/>
                <w:color w:val="0F1115"/>
                <w:sz w:val="15"/>
                <w:szCs w:val="15"/>
                <w:shd w:val="clear" w:color="auto" w:fill="FFFFFF"/>
              </w:rPr>
              <w:t> Provided in Section 2.2 (p.6) and Table 1 (p.21) for outcomes. Descriptions of exposure data (UDIPs, brain regions) in Section 2.2 (p.5-6).</w:t>
            </w:r>
            <w:r>
              <w:rPr>
                <w:rFonts w:ascii="Times New Roman" w:eastAsia="Segoe UI" w:hAnsi="Times New Roman" w:cs="Times New Roman"/>
                <w:color w:val="0F1115"/>
                <w:sz w:val="15"/>
                <w:szCs w:val="15"/>
                <w:shd w:val="clear" w:color="auto" w:fill="FFFFFF"/>
              </w:rPr>
              <w:br/>
            </w:r>
            <w:r>
              <w:rPr>
                <w:rStyle w:val="Pogrubienie"/>
                <w:rFonts w:ascii="Times New Roman" w:eastAsia="Segoe UI" w:hAnsi="Times New Roman" w:cs="Times New Roman"/>
                <w:bCs/>
                <w:color w:val="0F1115"/>
                <w:sz w:val="15"/>
                <w:szCs w:val="15"/>
                <w:shd w:val="clear" w:color="auto" w:fill="FFFFFF"/>
              </w:rPr>
              <w:t>Two-sample MR overlap:</w:t>
            </w:r>
            <w:r>
              <w:rPr>
                <w:rFonts w:ascii="Times New Roman" w:eastAsia="Segoe UI" w:hAnsi="Times New Roman" w:cs="Times New Roman"/>
                <w:color w:val="0F1115"/>
                <w:sz w:val="15"/>
                <w:szCs w:val="15"/>
                <w:shd w:val="clear" w:color="auto" w:fill="FFFFFF"/>
              </w:rPr>
              <w:t> Not explicitly stated. Both exposure and outcome samples are of European ancestry, justifying comparability. (p.6).</w:t>
            </w:r>
          </w:p>
        </w:tc>
      </w:tr>
      <w:tr w:rsidR="00EE797D" w14:paraId="644AC12E" w14:textId="77777777">
        <w:tc>
          <w:tcPr>
            <w:tcW w:w="587" w:type="dxa"/>
            <w:shd w:val="clear" w:color="auto" w:fill="EEEEEE"/>
          </w:tcPr>
          <w:p w14:paraId="644AC129"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shd w:val="clear" w:color="auto" w:fill="EEEEEE"/>
          </w:tcPr>
          <w:p w14:paraId="644AC12A"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b)</w:t>
            </w:r>
          </w:p>
        </w:tc>
        <w:tc>
          <w:tcPr>
            <w:tcW w:w="5226" w:type="dxa"/>
            <w:shd w:val="clear" w:color="auto" w:fill="EEEEEE"/>
          </w:tcPr>
          <w:p w14:paraId="644AC12B"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Report summary statistics for phenotypic exposure(s), outcome(s), and other relevant variables (e.g. means, SDs, proportions)</w:t>
            </w:r>
          </w:p>
        </w:tc>
        <w:tc>
          <w:tcPr>
            <w:tcW w:w="746" w:type="dxa"/>
            <w:shd w:val="clear" w:color="auto" w:fill="EEEEEE"/>
          </w:tcPr>
          <w:p w14:paraId="644AC12C"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5-6, 21</w:t>
            </w:r>
          </w:p>
        </w:tc>
        <w:tc>
          <w:tcPr>
            <w:tcW w:w="6109" w:type="dxa"/>
            <w:shd w:val="clear" w:color="auto" w:fill="EEEEEE"/>
          </w:tcPr>
          <w:p w14:paraId="644AC12D"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Style w:val="Pogrubienie"/>
                <w:rFonts w:ascii="Times New Roman" w:eastAsia="SimSun" w:hAnsi="Times New Roman" w:cs="Times New Roman"/>
                <w:bCs/>
                <w:color w:val="0F1115"/>
                <w:sz w:val="15"/>
                <w:szCs w:val="15"/>
                <w:shd w:val="clear" w:color="auto" w:fill="FFFFFF"/>
                <w:lang w:val="en-US" w:eastAsia="zh-CN"/>
              </w:rPr>
              <w:t>o</w:t>
            </w:r>
            <w:proofErr w:type="spellStart"/>
            <w:r>
              <w:rPr>
                <w:rStyle w:val="Pogrubienie"/>
                <w:rFonts w:ascii="Times New Roman" w:eastAsia="Segoe UI" w:hAnsi="Times New Roman" w:cs="Times New Roman"/>
                <w:bCs/>
                <w:color w:val="0F1115"/>
                <w:sz w:val="15"/>
                <w:szCs w:val="15"/>
                <w:shd w:val="clear" w:color="auto" w:fill="FFFFFF"/>
              </w:rPr>
              <w:t>utcome</w:t>
            </w:r>
            <w:proofErr w:type="spellEnd"/>
            <w:r>
              <w:rPr>
                <w:rStyle w:val="Pogrubienie"/>
                <w:rFonts w:ascii="Times New Roman" w:eastAsia="Segoe UI" w:hAnsi="Times New Roman" w:cs="Times New Roman"/>
                <w:bCs/>
                <w:color w:val="0F1115"/>
                <w:sz w:val="15"/>
                <w:szCs w:val="15"/>
                <w:shd w:val="clear" w:color="auto" w:fill="FFFFFF"/>
              </w:rPr>
              <w:t xml:space="preserve"> Summary:</w:t>
            </w:r>
            <w:r>
              <w:rPr>
                <w:rFonts w:ascii="Times New Roman" w:eastAsia="Segoe UI" w:hAnsi="Times New Roman" w:cs="Times New Roman"/>
                <w:color w:val="0F1115"/>
                <w:sz w:val="15"/>
                <w:szCs w:val="15"/>
                <w:shd w:val="clear" w:color="auto" w:fill="FFFFFF"/>
              </w:rPr>
              <w:t> Case and control counts provided (p.6, Table 1 p.21).</w:t>
            </w:r>
            <w:r>
              <w:rPr>
                <w:rFonts w:ascii="Times New Roman" w:eastAsia="Segoe UI" w:hAnsi="Times New Roman" w:cs="Times New Roman"/>
                <w:color w:val="0F1115"/>
                <w:sz w:val="15"/>
                <w:szCs w:val="15"/>
                <w:shd w:val="clear" w:color="auto" w:fill="FFFFFF"/>
              </w:rPr>
              <w:br/>
            </w:r>
            <w:r>
              <w:rPr>
                <w:rStyle w:val="Pogrubienie"/>
                <w:rFonts w:ascii="Times New Roman" w:eastAsia="Segoe UI" w:hAnsi="Times New Roman" w:cs="Times New Roman"/>
                <w:bCs/>
                <w:color w:val="0F1115"/>
                <w:sz w:val="15"/>
                <w:szCs w:val="15"/>
                <w:shd w:val="clear" w:color="auto" w:fill="FFFFFF"/>
              </w:rPr>
              <w:t>Exposure Summary:</w:t>
            </w:r>
            <w:r>
              <w:rPr>
                <w:rFonts w:ascii="Times New Roman" w:eastAsia="Segoe UI" w:hAnsi="Times New Roman" w:cs="Times New Roman"/>
                <w:color w:val="0F1115"/>
                <w:sz w:val="15"/>
                <w:szCs w:val="15"/>
                <w:shd w:val="clear" w:color="auto" w:fill="FFFFFF"/>
              </w:rPr>
              <w:t> Descriptions of UDIPs (512 features, heritability) and brain regions (13 regions) provided (p.5-6).</w:t>
            </w:r>
          </w:p>
        </w:tc>
      </w:tr>
      <w:tr w:rsidR="00EE797D" w14:paraId="644AC134" w14:textId="77777777">
        <w:tc>
          <w:tcPr>
            <w:tcW w:w="587" w:type="dxa"/>
          </w:tcPr>
          <w:p w14:paraId="644AC12F"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tcPr>
          <w:p w14:paraId="644AC130"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c)</w:t>
            </w:r>
          </w:p>
        </w:tc>
        <w:tc>
          <w:tcPr>
            <w:tcW w:w="5226" w:type="dxa"/>
          </w:tcPr>
          <w:p w14:paraId="644AC131"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If the data sources include meta-analyses of previous studies, provide the assessments of heterogeneity across these studies</w:t>
            </w:r>
          </w:p>
        </w:tc>
        <w:tc>
          <w:tcPr>
            <w:tcW w:w="746" w:type="dxa"/>
          </w:tcPr>
          <w:p w14:paraId="644AC132"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w:t>
            </w:r>
          </w:p>
        </w:tc>
        <w:tc>
          <w:tcPr>
            <w:tcW w:w="6109" w:type="dxa"/>
          </w:tcPr>
          <w:p w14:paraId="644AC133"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The GWAS sources are themselves large meta-analyses. Heterogeneity assessments (Cochran's Q) are reported as part of the MR sensitivity analysis results (see Item 13), not for the original constituent studies.</w:t>
            </w:r>
          </w:p>
        </w:tc>
      </w:tr>
      <w:tr w:rsidR="00EE797D" w14:paraId="644AC13C" w14:textId="77777777">
        <w:tc>
          <w:tcPr>
            <w:tcW w:w="587" w:type="dxa"/>
            <w:shd w:val="clear" w:color="auto" w:fill="EEEEEE"/>
          </w:tcPr>
          <w:p w14:paraId="644AC135"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shd w:val="clear" w:color="auto" w:fill="EEEEEE"/>
          </w:tcPr>
          <w:p w14:paraId="644AC136"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d)</w:t>
            </w:r>
          </w:p>
        </w:tc>
        <w:tc>
          <w:tcPr>
            <w:tcW w:w="5226" w:type="dxa"/>
            <w:shd w:val="clear" w:color="auto" w:fill="EEEEEE"/>
          </w:tcPr>
          <w:p w14:paraId="644AC137"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 xml:space="preserve">For </w:t>
            </w:r>
            <w:r>
              <w:rPr>
                <w:rFonts w:ascii="Times New Roman" w:eastAsia="Times New Roman" w:hAnsi="Times New Roman" w:cs="Times New Roman"/>
                <w:iCs/>
                <w:sz w:val="18"/>
                <w:szCs w:val="18"/>
                <w:lang w:val="en-GB" w:eastAsia="en-GB"/>
              </w:rPr>
              <w:t>two-sample</w:t>
            </w:r>
            <w:r>
              <w:rPr>
                <w:rFonts w:ascii="Times New Roman" w:eastAsia="Times New Roman" w:hAnsi="Times New Roman" w:cs="Times New Roman"/>
                <w:sz w:val="18"/>
                <w:szCs w:val="18"/>
                <w:lang w:val="en-GB" w:eastAsia="en-GB"/>
              </w:rPr>
              <w:t xml:space="preserve"> MR:</w:t>
            </w:r>
          </w:p>
          <w:p w14:paraId="644AC138"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 xml:space="preserve">   </w:t>
            </w:r>
            <w:proofErr w:type="spellStart"/>
            <w:r>
              <w:rPr>
                <w:rFonts w:ascii="Times New Roman" w:eastAsia="Times New Roman" w:hAnsi="Times New Roman" w:cs="Times New Roman"/>
                <w:sz w:val="18"/>
                <w:szCs w:val="18"/>
                <w:lang w:val="en-GB" w:eastAsia="en-GB"/>
              </w:rPr>
              <w:t>i</w:t>
            </w:r>
            <w:proofErr w:type="spellEnd"/>
            <w:r>
              <w:rPr>
                <w:rFonts w:ascii="Times New Roman" w:eastAsia="Times New Roman" w:hAnsi="Times New Roman" w:cs="Times New Roman"/>
                <w:sz w:val="18"/>
                <w:szCs w:val="18"/>
                <w:lang w:val="en-GB" w:eastAsia="en-GB"/>
              </w:rPr>
              <w:t>.  Provide justification of the similarity of the genetic variant-exposure associations between the exposure and outcome samples</w:t>
            </w:r>
          </w:p>
          <w:p w14:paraId="644AC139"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 xml:space="preserve">   ii.  Provide information on the number of individuals who overlap between the exposure and outcome studies</w:t>
            </w:r>
          </w:p>
        </w:tc>
        <w:tc>
          <w:tcPr>
            <w:tcW w:w="746" w:type="dxa"/>
            <w:shd w:val="clear" w:color="auto" w:fill="EEEEEE"/>
          </w:tcPr>
          <w:p w14:paraId="644AC13A"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6</w:t>
            </w:r>
          </w:p>
        </w:tc>
        <w:tc>
          <w:tcPr>
            <w:tcW w:w="6109" w:type="dxa"/>
            <w:shd w:val="clear" w:color="auto" w:fill="EEEEEE"/>
          </w:tcPr>
          <w:p w14:paraId="644AC13B"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proofErr w:type="spellStart"/>
            <w:r>
              <w:rPr>
                <w:rStyle w:val="Pogrubienie"/>
                <w:rFonts w:ascii="Times New Roman" w:eastAsia="Segoe UI" w:hAnsi="Times New Roman" w:cs="Times New Roman"/>
                <w:bCs/>
                <w:color w:val="0F1115"/>
                <w:sz w:val="15"/>
                <w:szCs w:val="15"/>
                <w:shd w:val="clear" w:color="auto" w:fill="FFFFFF"/>
              </w:rPr>
              <w:t>i</w:t>
            </w:r>
            <w:proofErr w:type="spellEnd"/>
            <w:r>
              <w:rPr>
                <w:rStyle w:val="Pogrubienie"/>
                <w:rFonts w:ascii="Times New Roman" w:eastAsia="Segoe UI" w:hAnsi="Times New Roman" w:cs="Times New Roman"/>
                <w:bCs/>
                <w:color w:val="0F1115"/>
                <w:sz w:val="15"/>
                <w:szCs w:val="15"/>
                <w:shd w:val="clear" w:color="auto" w:fill="FFFFFF"/>
              </w:rPr>
              <w:t>. Sample similarity:</w:t>
            </w:r>
            <w:r>
              <w:rPr>
                <w:rFonts w:ascii="Times New Roman" w:eastAsia="Segoe UI" w:hAnsi="Times New Roman" w:cs="Times New Roman"/>
                <w:color w:val="0F1115"/>
                <w:sz w:val="15"/>
                <w:szCs w:val="15"/>
                <w:shd w:val="clear" w:color="auto" w:fill="FFFFFF"/>
              </w:rPr>
              <w:t> Both exposure and outcome datasets are stated to be from European-ancestry populations (p.6).</w:t>
            </w:r>
            <w:r>
              <w:rPr>
                <w:rFonts w:ascii="Times New Roman" w:eastAsia="Segoe UI" w:hAnsi="Times New Roman" w:cs="Times New Roman"/>
                <w:color w:val="0F1115"/>
                <w:sz w:val="15"/>
                <w:szCs w:val="15"/>
                <w:shd w:val="clear" w:color="auto" w:fill="FFFFFF"/>
              </w:rPr>
              <w:br/>
            </w:r>
            <w:r>
              <w:rPr>
                <w:rStyle w:val="Pogrubienie"/>
                <w:rFonts w:ascii="Times New Roman" w:eastAsia="Segoe UI" w:hAnsi="Times New Roman" w:cs="Times New Roman"/>
                <w:bCs/>
                <w:color w:val="0F1115"/>
                <w:sz w:val="15"/>
                <w:szCs w:val="15"/>
                <w:shd w:val="clear" w:color="auto" w:fill="FFFFFF"/>
              </w:rPr>
              <w:t>ii. Overlap:</w:t>
            </w:r>
            <w:r>
              <w:rPr>
                <w:rFonts w:ascii="Times New Roman" w:eastAsia="Segoe UI" w:hAnsi="Times New Roman" w:cs="Times New Roman"/>
                <w:color w:val="0F1115"/>
                <w:sz w:val="15"/>
                <w:szCs w:val="15"/>
                <w:shd w:val="clear" w:color="auto" w:fill="FFFFFF"/>
              </w:rPr>
              <w:t> Not explicitly stated. Use of summary statistics from different consortia suggests minimal or unknown overlap.</w:t>
            </w:r>
          </w:p>
        </w:tc>
      </w:tr>
      <w:tr w:rsidR="00EE797D" w14:paraId="644AC142" w14:textId="77777777">
        <w:tc>
          <w:tcPr>
            <w:tcW w:w="587" w:type="dxa"/>
          </w:tcPr>
          <w:p w14:paraId="644AC13D" w14:textId="77777777" w:rsidR="00EE797D" w:rsidRDefault="00C0373C">
            <w:pPr>
              <w:spacing w:beforeLines="40" w:before="96" w:afterLines="40" w:after="96" w:line="24" w:lineRule="atLeast"/>
              <w:rPr>
                <w:rFonts w:ascii="Times New Roman" w:eastAsia="Times New Roman" w:hAnsi="Times New Roman" w:cs="Times New Roman"/>
                <w:b/>
                <w:bCs/>
                <w:sz w:val="18"/>
                <w:szCs w:val="18"/>
                <w:lang w:val="en-GB" w:eastAsia="en-GB"/>
              </w:rPr>
            </w:pPr>
            <w:r>
              <w:rPr>
                <w:rFonts w:ascii="Times New Roman" w:eastAsia="Times New Roman" w:hAnsi="Times New Roman" w:cs="Times New Roman"/>
                <w:sz w:val="18"/>
                <w:szCs w:val="18"/>
                <w:lang w:val="en-GB" w:eastAsia="en-GB"/>
              </w:rPr>
              <w:t>11</w:t>
            </w:r>
          </w:p>
        </w:tc>
        <w:tc>
          <w:tcPr>
            <w:tcW w:w="1822" w:type="dxa"/>
          </w:tcPr>
          <w:p w14:paraId="644AC13E"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b/>
                <w:bCs/>
                <w:sz w:val="18"/>
                <w:szCs w:val="18"/>
                <w:lang w:val="en-GB" w:eastAsia="en-GB"/>
              </w:rPr>
              <w:t>Main results</w:t>
            </w:r>
          </w:p>
        </w:tc>
        <w:tc>
          <w:tcPr>
            <w:tcW w:w="5226" w:type="dxa"/>
          </w:tcPr>
          <w:p w14:paraId="644AC13F" w14:textId="77777777" w:rsidR="00EE797D" w:rsidRDefault="00EE797D">
            <w:pPr>
              <w:spacing w:beforeLines="40" w:before="96" w:afterLines="40" w:after="96" w:line="24" w:lineRule="atLeast"/>
              <w:rPr>
                <w:rFonts w:ascii="Times New Roman" w:eastAsia="Cambria" w:hAnsi="Times New Roman" w:cs="Times New Roman"/>
                <w:sz w:val="18"/>
                <w:szCs w:val="18"/>
                <w:lang w:val="en-GB" w:eastAsia="en-US"/>
              </w:rPr>
            </w:pPr>
          </w:p>
        </w:tc>
        <w:tc>
          <w:tcPr>
            <w:tcW w:w="746" w:type="dxa"/>
          </w:tcPr>
          <w:p w14:paraId="644AC140"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Segoe UI" w:hAnsi="Times New Roman" w:cs="Times New Roman"/>
                <w:color w:val="0F1115"/>
                <w:sz w:val="15"/>
                <w:szCs w:val="15"/>
                <w:shd w:val="clear" w:color="auto" w:fill="FFFFFF"/>
              </w:rPr>
              <w:t>9-11, 22-27</w:t>
            </w:r>
          </w:p>
        </w:tc>
        <w:tc>
          <w:tcPr>
            <w:tcW w:w="6109" w:type="dxa"/>
          </w:tcPr>
          <w:p w14:paraId="644AC141"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Style w:val="Pogrubienie"/>
                <w:rFonts w:ascii="Times New Roman" w:eastAsia="Segoe UI" w:hAnsi="Times New Roman" w:cs="Times New Roman"/>
                <w:bCs/>
                <w:color w:val="0F1115"/>
                <w:sz w:val="15"/>
                <w:szCs w:val="15"/>
                <w:shd w:val="clear" w:color="auto" w:fill="FFFFFF"/>
              </w:rPr>
              <w:t>MR estimates (OR with 95% CI)</w:t>
            </w:r>
            <w:r>
              <w:rPr>
                <w:rFonts w:ascii="Times New Roman" w:eastAsia="Segoe UI" w:hAnsi="Times New Roman" w:cs="Times New Roman"/>
                <w:color w:val="0F1115"/>
                <w:sz w:val="15"/>
                <w:szCs w:val="15"/>
                <w:shd w:val="clear" w:color="auto" w:fill="FFFFFF"/>
              </w:rPr>
              <w:t> are extensively reported in Section 3.1 and 3.2 (p.9-11), and visualized in Figures 2-8 (p.22-27).</w:t>
            </w:r>
            <w:r>
              <w:rPr>
                <w:rFonts w:ascii="Times New Roman" w:eastAsia="Segoe UI" w:hAnsi="Times New Roman" w:cs="Times New Roman"/>
                <w:color w:val="0F1115"/>
                <w:sz w:val="15"/>
                <w:szCs w:val="15"/>
                <w:shd w:val="clear" w:color="auto" w:fill="FFFFFF"/>
              </w:rPr>
              <w:br/>
            </w:r>
            <w:r>
              <w:rPr>
                <w:rStyle w:val="Pogrubienie"/>
                <w:rFonts w:ascii="Times New Roman" w:eastAsia="Segoe UI" w:hAnsi="Times New Roman" w:cs="Times New Roman"/>
                <w:bCs/>
                <w:color w:val="0F1115"/>
                <w:sz w:val="15"/>
                <w:szCs w:val="15"/>
                <w:shd w:val="clear" w:color="auto" w:fill="FFFFFF"/>
              </w:rPr>
              <w:t>Example UDIP:</w:t>
            </w:r>
            <w:r>
              <w:rPr>
                <w:rFonts w:ascii="Times New Roman" w:eastAsia="Segoe UI" w:hAnsi="Times New Roman" w:cs="Times New Roman"/>
                <w:color w:val="0F1115"/>
                <w:sz w:val="15"/>
                <w:szCs w:val="15"/>
                <w:shd w:val="clear" w:color="auto" w:fill="FFFFFF"/>
              </w:rPr>
              <w:t> “T2-58 demonstrated a positive association with AD risk (OR = 1.012, 95% CI: 1.002–1.02)” (p.9).</w:t>
            </w:r>
            <w:r>
              <w:rPr>
                <w:rFonts w:ascii="Times New Roman" w:eastAsia="Segoe UI" w:hAnsi="Times New Roman" w:cs="Times New Roman"/>
                <w:color w:val="0F1115"/>
                <w:sz w:val="15"/>
                <w:szCs w:val="15"/>
                <w:shd w:val="clear" w:color="auto" w:fill="FFFFFF"/>
              </w:rPr>
              <w:br/>
            </w:r>
            <w:r>
              <w:rPr>
                <w:rStyle w:val="Pogrubienie"/>
                <w:rFonts w:ascii="Times New Roman" w:eastAsia="Segoe UI" w:hAnsi="Times New Roman" w:cs="Times New Roman"/>
                <w:bCs/>
                <w:color w:val="0F1115"/>
                <w:sz w:val="15"/>
                <w:szCs w:val="15"/>
                <w:shd w:val="clear" w:color="auto" w:fill="FFFFFF"/>
              </w:rPr>
              <w:t>Example Gene:</w:t>
            </w:r>
            <w:r>
              <w:rPr>
                <w:rFonts w:ascii="Times New Roman" w:eastAsia="Segoe UI" w:hAnsi="Times New Roman" w:cs="Times New Roman"/>
                <w:color w:val="0F1115"/>
                <w:sz w:val="15"/>
                <w:szCs w:val="15"/>
                <w:shd w:val="clear" w:color="auto" w:fill="FFFFFF"/>
              </w:rPr>
              <w:t> “elevated HLA-DRB1 expression was associated with increased disease risk for AD (OR = 1.142, 95% CI: 1.032–1.262)...” (p.10).</w:t>
            </w:r>
          </w:p>
        </w:tc>
      </w:tr>
      <w:tr w:rsidR="00EE797D" w14:paraId="644AC148" w14:textId="77777777">
        <w:tc>
          <w:tcPr>
            <w:tcW w:w="587" w:type="dxa"/>
            <w:shd w:val="clear" w:color="auto" w:fill="EEEEEE"/>
          </w:tcPr>
          <w:p w14:paraId="644AC143"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shd w:val="clear" w:color="auto" w:fill="EEEEEE"/>
          </w:tcPr>
          <w:p w14:paraId="644AC144"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a)</w:t>
            </w:r>
          </w:p>
        </w:tc>
        <w:tc>
          <w:tcPr>
            <w:tcW w:w="5226" w:type="dxa"/>
            <w:shd w:val="clear" w:color="auto" w:fill="EEEEEE"/>
          </w:tcPr>
          <w:p w14:paraId="644AC145"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Report the associations between genetic variant and exposure, and between genetic variant and outcome, preferably on an interpretable scale</w:t>
            </w:r>
          </w:p>
        </w:tc>
        <w:tc>
          <w:tcPr>
            <w:tcW w:w="746" w:type="dxa"/>
            <w:shd w:val="clear" w:color="auto" w:fill="EEEEEE"/>
          </w:tcPr>
          <w:p w14:paraId="644AC146"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9-11</w:t>
            </w:r>
          </w:p>
        </w:tc>
        <w:tc>
          <w:tcPr>
            <w:tcW w:w="6109" w:type="dxa"/>
            <w:shd w:val="clear" w:color="auto" w:fill="EEEEEE"/>
          </w:tcPr>
          <w:p w14:paraId="644AC147"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Associations are reported as MR estimates (OR per SD increase in exposure). Detailed SNP-level associations (beta, SE) are noted to be in supplementary files.</w:t>
            </w:r>
          </w:p>
        </w:tc>
      </w:tr>
      <w:tr w:rsidR="00EE797D" w14:paraId="644AC14E" w14:textId="77777777">
        <w:tc>
          <w:tcPr>
            <w:tcW w:w="587" w:type="dxa"/>
          </w:tcPr>
          <w:p w14:paraId="644AC149"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tcPr>
          <w:p w14:paraId="644AC14A"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b)</w:t>
            </w:r>
          </w:p>
        </w:tc>
        <w:tc>
          <w:tcPr>
            <w:tcW w:w="5226" w:type="dxa"/>
          </w:tcPr>
          <w:p w14:paraId="644AC14B"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Report MR estimates of the relationship between exposure and outcome, and the measures of uncertainty from the MR analysis, on an interpretable scale, such as odds ratio or relative risk per SD difference</w:t>
            </w:r>
          </w:p>
        </w:tc>
        <w:tc>
          <w:tcPr>
            <w:tcW w:w="746" w:type="dxa"/>
          </w:tcPr>
          <w:p w14:paraId="644AC14C"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9-11, 22-27</w:t>
            </w:r>
          </w:p>
        </w:tc>
        <w:tc>
          <w:tcPr>
            <w:tcW w:w="6109" w:type="dxa"/>
          </w:tcPr>
          <w:p w14:paraId="644AC14D"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MR estimates (OR with 95% CI) are reported throughout Section 3.1 and 3.2 and in Figures 2-8.</w:t>
            </w:r>
          </w:p>
        </w:tc>
      </w:tr>
      <w:tr w:rsidR="00EE797D" w14:paraId="644AC154" w14:textId="77777777">
        <w:tc>
          <w:tcPr>
            <w:tcW w:w="587" w:type="dxa"/>
            <w:shd w:val="clear" w:color="auto" w:fill="EEEEEE"/>
          </w:tcPr>
          <w:p w14:paraId="644AC14F"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shd w:val="clear" w:color="auto" w:fill="EEEEEE"/>
          </w:tcPr>
          <w:p w14:paraId="644AC150"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c)</w:t>
            </w:r>
          </w:p>
        </w:tc>
        <w:tc>
          <w:tcPr>
            <w:tcW w:w="5226" w:type="dxa"/>
            <w:shd w:val="clear" w:color="auto" w:fill="EEEEEE"/>
          </w:tcPr>
          <w:p w14:paraId="644AC151"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If relevant, consider translating estimates of relative risk into absolute risk for a meaningful time period</w:t>
            </w:r>
          </w:p>
        </w:tc>
        <w:tc>
          <w:tcPr>
            <w:tcW w:w="746" w:type="dxa"/>
            <w:shd w:val="clear" w:color="auto" w:fill="EEEEEE"/>
          </w:tcPr>
          <w:p w14:paraId="644AC152"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w:t>
            </w:r>
          </w:p>
        </w:tc>
        <w:tc>
          <w:tcPr>
            <w:tcW w:w="6109" w:type="dxa"/>
            <w:shd w:val="clear" w:color="auto" w:fill="EEEEEE"/>
          </w:tcPr>
          <w:p w14:paraId="644AC153"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Not done.</w:t>
            </w:r>
          </w:p>
        </w:tc>
      </w:tr>
      <w:tr w:rsidR="00EE797D" w14:paraId="644AC15A" w14:textId="77777777">
        <w:tc>
          <w:tcPr>
            <w:tcW w:w="587" w:type="dxa"/>
          </w:tcPr>
          <w:p w14:paraId="644AC155"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tcPr>
          <w:p w14:paraId="644AC156"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d)</w:t>
            </w:r>
          </w:p>
        </w:tc>
        <w:tc>
          <w:tcPr>
            <w:tcW w:w="5226" w:type="dxa"/>
          </w:tcPr>
          <w:p w14:paraId="644AC157"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Consider plots to visualize results (e.g. forest plot, scatterplot of associations between genetic variants and outcome versus between genetic variants and exposure)</w:t>
            </w:r>
          </w:p>
        </w:tc>
        <w:tc>
          <w:tcPr>
            <w:tcW w:w="746" w:type="dxa"/>
          </w:tcPr>
          <w:p w14:paraId="644AC158"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22-27, 28-29</w:t>
            </w:r>
          </w:p>
        </w:tc>
        <w:tc>
          <w:tcPr>
            <w:tcW w:w="6109" w:type="dxa"/>
          </w:tcPr>
          <w:p w14:paraId="644AC159"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Multiple forest plots (Figures 2-8, p.22-27) visualize MR estimates for UDIPs and genes. Venn diagrams (Supplementary Figures 1 &amp; 2, p.28-29) show overlap of significant exposures across diseases.</w:t>
            </w:r>
          </w:p>
        </w:tc>
      </w:tr>
      <w:tr w:rsidR="00EE797D" w14:paraId="644AC160" w14:textId="77777777">
        <w:tc>
          <w:tcPr>
            <w:tcW w:w="587" w:type="dxa"/>
            <w:shd w:val="clear" w:color="auto" w:fill="EEEEEE"/>
          </w:tcPr>
          <w:p w14:paraId="644AC15B" w14:textId="77777777" w:rsidR="00EE797D" w:rsidRDefault="00C0373C">
            <w:pPr>
              <w:spacing w:beforeLines="40" w:before="96" w:afterLines="40" w:after="96" w:line="24" w:lineRule="atLeast"/>
              <w:rPr>
                <w:rFonts w:ascii="Times New Roman" w:eastAsia="Times New Roman" w:hAnsi="Times New Roman" w:cs="Times New Roman"/>
                <w:b/>
                <w:bCs/>
                <w:sz w:val="18"/>
                <w:szCs w:val="18"/>
                <w:lang w:val="en-GB" w:eastAsia="en-GB"/>
              </w:rPr>
            </w:pPr>
            <w:r>
              <w:rPr>
                <w:rFonts w:ascii="Times New Roman" w:eastAsia="Times New Roman" w:hAnsi="Times New Roman" w:cs="Times New Roman"/>
                <w:sz w:val="18"/>
                <w:szCs w:val="18"/>
                <w:lang w:val="en-GB" w:eastAsia="en-GB"/>
              </w:rPr>
              <w:t>12</w:t>
            </w:r>
          </w:p>
        </w:tc>
        <w:tc>
          <w:tcPr>
            <w:tcW w:w="1822" w:type="dxa"/>
            <w:shd w:val="clear" w:color="auto" w:fill="EEEEEE"/>
          </w:tcPr>
          <w:p w14:paraId="644AC15C"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b/>
                <w:bCs/>
                <w:sz w:val="18"/>
                <w:szCs w:val="18"/>
                <w:lang w:val="en-GB" w:eastAsia="en-GB"/>
              </w:rPr>
              <w:t>Assessment of assumptions</w:t>
            </w:r>
          </w:p>
        </w:tc>
        <w:tc>
          <w:tcPr>
            <w:tcW w:w="5226" w:type="dxa"/>
            <w:shd w:val="clear" w:color="auto" w:fill="EEEEEE"/>
          </w:tcPr>
          <w:p w14:paraId="644AC15D" w14:textId="77777777" w:rsidR="00EE797D" w:rsidRDefault="00EE797D">
            <w:pPr>
              <w:spacing w:beforeLines="40" w:before="96" w:afterLines="40" w:after="96" w:line="24" w:lineRule="atLeast"/>
              <w:rPr>
                <w:rFonts w:ascii="Times New Roman" w:eastAsia="Cambria" w:hAnsi="Times New Roman" w:cs="Times New Roman"/>
                <w:sz w:val="18"/>
                <w:szCs w:val="18"/>
                <w:lang w:val="en-GB" w:eastAsia="en-US"/>
              </w:rPr>
            </w:pPr>
          </w:p>
        </w:tc>
        <w:tc>
          <w:tcPr>
            <w:tcW w:w="746" w:type="dxa"/>
            <w:shd w:val="clear" w:color="auto" w:fill="EEEEEE"/>
          </w:tcPr>
          <w:p w14:paraId="644AC15E"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Segoe UI" w:hAnsi="Times New Roman" w:cs="Times New Roman"/>
                <w:color w:val="0F1115"/>
                <w:sz w:val="15"/>
                <w:szCs w:val="15"/>
                <w:shd w:val="clear" w:color="auto" w:fill="FFFFFF"/>
              </w:rPr>
              <w:t>9, 11</w:t>
            </w:r>
          </w:p>
        </w:tc>
        <w:tc>
          <w:tcPr>
            <w:tcW w:w="6109" w:type="dxa"/>
            <w:shd w:val="clear" w:color="auto" w:fill="EEEEEE"/>
          </w:tcPr>
          <w:p w14:paraId="644AC15F"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Style w:val="Pogrubienie"/>
                <w:rFonts w:ascii="Times New Roman" w:eastAsia="Segoe UI" w:hAnsi="Times New Roman" w:cs="Times New Roman"/>
                <w:bCs/>
                <w:color w:val="0F1115"/>
                <w:sz w:val="15"/>
                <w:szCs w:val="15"/>
                <w:shd w:val="clear" w:color="auto" w:fill="FFFFFF"/>
              </w:rPr>
              <w:t>Heterogeneity (Cochran's Q):</w:t>
            </w:r>
            <w:r>
              <w:rPr>
                <w:rFonts w:ascii="Times New Roman" w:eastAsia="Segoe UI" w:hAnsi="Times New Roman" w:cs="Times New Roman"/>
                <w:color w:val="0F1115"/>
                <w:sz w:val="15"/>
                <w:szCs w:val="15"/>
                <w:shd w:val="clear" w:color="auto" w:fill="FFFFFF"/>
              </w:rPr>
              <w:t> “94.6% of the significant multi-SNP associations exhibited no evidence of heterogeneity (P &gt; 0.05, see Supplementary Table S2).” (p.9).</w:t>
            </w:r>
            <w:r>
              <w:rPr>
                <w:rFonts w:ascii="Times New Roman" w:eastAsia="Segoe UI" w:hAnsi="Times New Roman" w:cs="Times New Roman"/>
                <w:color w:val="0F1115"/>
                <w:sz w:val="15"/>
                <w:szCs w:val="15"/>
                <w:shd w:val="clear" w:color="auto" w:fill="FFFFFF"/>
              </w:rPr>
              <w:br/>
            </w:r>
            <w:r>
              <w:rPr>
                <w:rStyle w:val="Pogrubienie"/>
                <w:rFonts w:ascii="Times New Roman" w:eastAsia="Segoe UI" w:hAnsi="Times New Roman" w:cs="Times New Roman"/>
                <w:bCs/>
                <w:color w:val="0F1115"/>
                <w:sz w:val="15"/>
                <w:szCs w:val="15"/>
                <w:shd w:val="clear" w:color="auto" w:fill="FFFFFF"/>
              </w:rPr>
              <w:t>HEIDI Test (for SMR):</w:t>
            </w:r>
            <w:r>
              <w:rPr>
                <w:rFonts w:ascii="Times New Roman" w:eastAsia="Segoe UI" w:hAnsi="Times New Roman" w:cs="Times New Roman"/>
                <w:color w:val="0F1115"/>
                <w:sz w:val="15"/>
                <w:szCs w:val="15"/>
                <w:shd w:val="clear" w:color="auto" w:fill="FFFFFF"/>
              </w:rPr>
              <w:t> For HLA genes in MS, significant heterogeneity (P_HEIDI &lt; 0.05) suggested potential LD confounding. For AD, PD, ALS, associations passed HEIDI test (P_HEIDI &gt; 0.05), supporting causality. (p.11).</w:t>
            </w:r>
          </w:p>
        </w:tc>
      </w:tr>
      <w:tr w:rsidR="00EE797D" w14:paraId="644AC166" w14:textId="77777777">
        <w:tc>
          <w:tcPr>
            <w:tcW w:w="587" w:type="dxa"/>
          </w:tcPr>
          <w:p w14:paraId="644AC161"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tcPr>
          <w:p w14:paraId="644AC162"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a)</w:t>
            </w:r>
          </w:p>
        </w:tc>
        <w:tc>
          <w:tcPr>
            <w:tcW w:w="5226" w:type="dxa"/>
          </w:tcPr>
          <w:p w14:paraId="644AC163"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Report the assessment of the validity of the assumptions</w:t>
            </w:r>
          </w:p>
        </w:tc>
        <w:tc>
          <w:tcPr>
            <w:tcW w:w="746" w:type="dxa"/>
          </w:tcPr>
          <w:p w14:paraId="644AC164"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9, 11</w:t>
            </w:r>
          </w:p>
        </w:tc>
        <w:tc>
          <w:tcPr>
            <w:tcW w:w="6109" w:type="dxa"/>
          </w:tcPr>
          <w:p w14:paraId="644AC165"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Reported via heterogeneity tests (Cochran's Q, HEIDI) and mention of F-statistic calculation.</w:t>
            </w:r>
          </w:p>
        </w:tc>
      </w:tr>
      <w:tr w:rsidR="00EE797D" w14:paraId="644AC16C" w14:textId="77777777">
        <w:tc>
          <w:tcPr>
            <w:tcW w:w="587" w:type="dxa"/>
            <w:shd w:val="clear" w:color="auto" w:fill="EEEEEE"/>
          </w:tcPr>
          <w:p w14:paraId="644AC167"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shd w:val="clear" w:color="auto" w:fill="EEEEEE"/>
          </w:tcPr>
          <w:p w14:paraId="644AC168"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b)</w:t>
            </w:r>
          </w:p>
        </w:tc>
        <w:tc>
          <w:tcPr>
            <w:tcW w:w="5226" w:type="dxa"/>
            <w:shd w:val="clear" w:color="auto" w:fill="EEEEEE"/>
          </w:tcPr>
          <w:p w14:paraId="644AC169"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 xml:space="preserve">Report any additional statistics (e.g., assessments of heterogeneity </w:t>
            </w:r>
            <w:r>
              <w:rPr>
                <w:rFonts w:ascii="Times New Roman" w:eastAsia="Times New Roman" w:hAnsi="Times New Roman" w:cs="Times New Roman"/>
                <w:sz w:val="18"/>
                <w:szCs w:val="18"/>
                <w:lang w:eastAsia="en-GB"/>
              </w:rPr>
              <w:t>across genetic variants</w:t>
            </w:r>
            <w:r>
              <w:rPr>
                <w:rFonts w:ascii="Times New Roman" w:eastAsia="Times New Roman" w:hAnsi="Times New Roman" w:cs="Times New Roman"/>
                <w:sz w:val="18"/>
                <w:szCs w:val="18"/>
                <w:lang w:val="en-GB" w:eastAsia="en-GB"/>
              </w:rPr>
              <w:t xml:space="preserve">, such as </w:t>
            </w:r>
            <w:r>
              <w:rPr>
                <w:rFonts w:ascii="Times New Roman" w:eastAsia="Times New Roman" w:hAnsi="Times New Roman" w:cs="Times New Roman"/>
                <w:i/>
                <w:sz w:val="18"/>
                <w:szCs w:val="18"/>
                <w:lang w:val="en-GB" w:eastAsia="en-GB"/>
              </w:rPr>
              <w:t>I</w:t>
            </w:r>
            <w:r>
              <w:rPr>
                <w:rFonts w:ascii="Times New Roman" w:eastAsia="Times New Roman" w:hAnsi="Times New Roman" w:cs="Times New Roman"/>
                <w:i/>
                <w:sz w:val="18"/>
                <w:szCs w:val="18"/>
                <w:vertAlign w:val="superscript"/>
                <w:lang w:val="en-GB" w:eastAsia="en-GB"/>
              </w:rPr>
              <w:t>2</w:t>
            </w:r>
            <w:r>
              <w:rPr>
                <w:rFonts w:ascii="Times New Roman" w:eastAsia="Times New Roman" w:hAnsi="Times New Roman" w:cs="Times New Roman"/>
                <w:sz w:val="18"/>
                <w:szCs w:val="18"/>
                <w:lang w:val="en-GB" w:eastAsia="en-GB"/>
              </w:rPr>
              <w:t>, Q statistic or E-value)</w:t>
            </w:r>
          </w:p>
        </w:tc>
        <w:tc>
          <w:tcPr>
            <w:tcW w:w="746" w:type="dxa"/>
            <w:shd w:val="clear" w:color="auto" w:fill="EEEEEE"/>
          </w:tcPr>
          <w:p w14:paraId="644AC16A"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9, 11</w:t>
            </w:r>
          </w:p>
        </w:tc>
        <w:tc>
          <w:tcPr>
            <w:tcW w:w="6109" w:type="dxa"/>
            <w:shd w:val="clear" w:color="auto" w:fill="EEEEEE"/>
          </w:tcPr>
          <w:p w14:paraId="644AC16B"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Cochran's Q test and HEIDI test p-values are reported as mentioned above.</w:t>
            </w:r>
          </w:p>
        </w:tc>
      </w:tr>
      <w:tr w:rsidR="00EE797D" w14:paraId="644AC172" w14:textId="77777777">
        <w:tc>
          <w:tcPr>
            <w:tcW w:w="587" w:type="dxa"/>
          </w:tcPr>
          <w:p w14:paraId="644AC16D" w14:textId="77777777" w:rsidR="00EE797D" w:rsidRDefault="00C0373C">
            <w:pPr>
              <w:spacing w:beforeLines="40" w:before="96" w:afterLines="40" w:after="96" w:line="24" w:lineRule="atLeast"/>
              <w:rPr>
                <w:rFonts w:ascii="Times New Roman" w:eastAsia="Times New Roman" w:hAnsi="Times New Roman" w:cs="Times New Roman"/>
                <w:b/>
                <w:bCs/>
                <w:sz w:val="18"/>
                <w:szCs w:val="18"/>
                <w:lang w:val="en-GB" w:eastAsia="en-GB"/>
              </w:rPr>
            </w:pPr>
            <w:r>
              <w:rPr>
                <w:rFonts w:ascii="Times New Roman" w:eastAsia="Times New Roman" w:hAnsi="Times New Roman" w:cs="Times New Roman"/>
                <w:sz w:val="18"/>
                <w:szCs w:val="18"/>
                <w:lang w:val="en-GB" w:eastAsia="en-GB"/>
              </w:rPr>
              <w:t>13</w:t>
            </w:r>
          </w:p>
        </w:tc>
        <w:tc>
          <w:tcPr>
            <w:tcW w:w="1822" w:type="dxa"/>
          </w:tcPr>
          <w:p w14:paraId="644AC16E"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b/>
                <w:bCs/>
                <w:sz w:val="18"/>
                <w:szCs w:val="18"/>
                <w:lang w:val="en-GB" w:eastAsia="en-GB"/>
              </w:rPr>
              <w:t>Sensitivity analyses and additional analyses</w:t>
            </w:r>
          </w:p>
        </w:tc>
        <w:tc>
          <w:tcPr>
            <w:tcW w:w="5226" w:type="dxa"/>
          </w:tcPr>
          <w:p w14:paraId="644AC16F" w14:textId="77777777" w:rsidR="00EE797D" w:rsidRDefault="00EE797D">
            <w:pPr>
              <w:spacing w:beforeLines="40" w:before="96" w:afterLines="40" w:after="96" w:line="24" w:lineRule="atLeast"/>
              <w:rPr>
                <w:rFonts w:ascii="Times New Roman" w:eastAsia="Cambria" w:hAnsi="Times New Roman" w:cs="Times New Roman"/>
                <w:sz w:val="18"/>
                <w:szCs w:val="18"/>
                <w:lang w:val="en-GB" w:eastAsia="en-US"/>
              </w:rPr>
            </w:pPr>
          </w:p>
        </w:tc>
        <w:tc>
          <w:tcPr>
            <w:tcW w:w="746" w:type="dxa"/>
          </w:tcPr>
          <w:p w14:paraId="644AC170"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Segoe UI" w:hAnsi="Times New Roman" w:cs="Times New Roman"/>
                <w:color w:val="0F1115"/>
                <w:sz w:val="15"/>
                <w:szCs w:val="15"/>
                <w:shd w:val="clear" w:color="auto" w:fill="FFFFFF"/>
              </w:rPr>
              <w:t>9, 11</w:t>
            </w:r>
          </w:p>
        </w:tc>
        <w:tc>
          <w:tcPr>
            <w:tcW w:w="6109" w:type="dxa"/>
          </w:tcPr>
          <w:p w14:paraId="644AC171"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Style w:val="Pogrubienie"/>
                <w:rFonts w:ascii="Times New Roman" w:eastAsia="Segoe UI" w:hAnsi="Times New Roman" w:cs="Times New Roman"/>
                <w:bCs/>
                <w:color w:val="0F1115"/>
                <w:sz w:val="15"/>
                <w:szCs w:val="15"/>
                <w:shd w:val="clear" w:color="auto" w:fill="FFFFFF"/>
              </w:rPr>
              <w:t>Sensitivity Results:</w:t>
            </w:r>
            <w:r>
              <w:rPr>
                <w:rFonts w:ascii="Times New Roman" w:eastAsia="Segoe UI" w:hAnsi="Times New Roman" w:cs="Times New Roman"/>
                <w:color w:val="0F1115"/>
                <w:sz w:val="15"/>
                <w:szCs w:val="15"/>
                <w:shd w:val="clear" w:color="auto" w:fill="FFFFFF"/>
              </w:rPr>
              <w:t> Low heterogeneity for most multi-SNP associations confirmed by post-hoc Cochran's Q test (p.9). HEIDI test results for SMR analyses are reported, distinguishing signals for MS from AD/PD/ALS (p.11). Detailed results for Egger intercept, MR-PRESSO, leave-one-out are implied but not fully detailed in main text.</w:t>
            </w:r>
            <w:r>
              <w:rPr>
                <w:rFonts w:ascii="Times New Roman" w:eastAsia="Segoe UI" w:hAnsi="Times New Roman" w:cs="Times New Roman"/>
                <w:color w:val="0F1115"/>
                <w:sz w:val="15"/>
                <w:szCs w:val="15"/>
                <w:shd w:val="clear" w:color="auto" w:fill="FFFFFF"/>
              </w:rPr>
              <w:br/>
            </w:r>
            <w:r>
              <w:rPr>
                <w:rStyle w:val="Pogrubienie"/>
                <w:rFonts w:ascii="Times New Roman" w:eastAsia="Segoe UI" w:hAnsi="Times New Roman" w:cs="Times New Roman"/>
                <w:bCs/>
                <w:color w:val="0F1115"/>
                <w:sz w:val="15"/>
                <w:szCs w:val="15"/>
                <w:shd w:val="clear" w:color="auto" w:fill="FFFFFF"/>
              </w:rPr>
              <w:t>Additional SMR Results:</w:t>
            </w:r>
            <w:r>
              <w:rPr>
                <w:rFonts w:ascii="Times New Roman" w:eastAsia="Segoe UI" w:hAnsi="Times New Roman" w:cs="Times New Roman"/>
                <w:color w:val="0F1115"/>
                <w:sz w:val="15"/>
                <w:szCs w:val="15"/>
                <w:shd w:val="clear" w:color="auto" w:fill="FFFFFF"/>
              </w:rPr>
              <w:t> Causal associations for specific genes (HLA-DRB1, HLA-DQA2, etc.) across brain regions and NDDs are reported, with interpretations informed by HEIDI test. (p.10-11).</w:t>
            </w:r>
          </w:p>
        </w:tc>
      </w:tr>
      <w:tr w:rsidR="00EE797D" w14:paraId="644AC178" w14:textId="77777777">
        <w:tc>
          <w:tcPr>
            <w:tcW w:w="587" w:type="dxa"/>
            <w:shd w:val="clear" w:color="auto" w:fill="EEEEEE"/>
          </w:tcPr>
          <w:p w14:paraId="644AC173"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shd w:val="clear" w:color="auto" w:fill="EEEEEE"/>
          </w:tcPr>
          <w:p w14:paraId="644AC174"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a)</w:t>
            </w:r>
          </w:p>
        </w:tc>
        <w:tc>
          <w:tcPr>
            <w:tcW w:w="5226" w:type="dxa"/>
            <w:shd w:val="clear" w:color="auto" w:fill="EEEEEE"/>
          </w:tcPr>
          <w:p w14:paraId="644AC175"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Report any sensitivity analyses to assess the robustness of the main results to violations of the assumptions</w:t>
            </w:r>
          </w:p>
        </w:tc>
        <w:tc>
          <w:tcPr>
            <w:tcW w:w="746" w:type="dxa"/>
            <w:shd w:val="clear" w:color="auto" w:fill="EEEEEE"/>
          </w:tcPr>
          <w:p w14:paraId="644AC176"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9</w:t>
            </w:r>
          </w:p>
        </w:tc>
        <w:tc>
          <w:tcPr>
            <w:tcW w:w="6109" w:type="dxa"/>
            <w:shd w:val="clear" w:color="auto" w:fill="EEEEEE"/>
          </w:tcPr>
          <w:p w14:paraId="644AC177"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Post-hoc Cochran's Q test showing low heterogeneity for most associations supports robustness against pleiotropy for the main MR analyses. (p.9).</w:t>
            </w:r>
          </w:p>
        </w:tc>
      </w:tr>
      <w:tr w:rsidR="00EE797D" w14:paraId="644AC17E" w14:textId="77777777">
        <w:tc>
          <w:tcPr>
            <w:tcW w:w="587" w:type="dxa"/>
          </w:tcPr>
          <w:p w14:paraId="644AC179"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tcPr>
          <w:p w14:paraId="644AC17A"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b)</w:t>
            </w:r>
          </w:p>
        </w:tc>
        <w:tc>
          <w:tcPr>
            <w:tcW w:w="5226" w:type="dxa"/>
          </w:tcPr>
          <w:p w14:paraId="644AC17B"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Report results from other sensitivity analyses or additional analyses</w:t>
            </w:r>
          </w:p>
        </w:tc>
        <w:tc>
          <w:tcPr>
            <w:tcW w:w="746" w:type="dxa"/>
          </w:tcPr>
          <w:p w14:paraId="644AC17C"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11</w:t>
            </w:r>
          </w:p>
        </w:tc>
        <w:tc>
          <w:tcPr>
            <w:tcW w:w="6109" w:type="dxa"/>
          </w:tcPr>
          <w:p w14:paraId="644AC17D"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HEIDI test results from the SMR analysis are reported, providing nuance on the nature of HLA gene associations (causal vs. potentially linked) across different diseases. (p.11).</w:t>
            </w:r>
          </w:p>
        </w:tc>
      </w:tr>
      <w:tr w:rsidR="00EE797D" w14:paraId="644AC184" w14:textId="77777777">
        <w:tc>
          <w:tcPr>
            <w:tcW w:w="587" w:type="dxa"/>
            <w:shd w:val="clear" w:color="auto" w:fill="EEEEEE"/>
          </w:tcPr>
          <w:p w14:paraId="644AC17F"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shd w:val="clear" w:color="auto" w:fill="EEEEEE"/>
          </w:tcPr>
          <w:p w14:paraId="644AC180"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c)</w:t>
            </w:r>
          </w:p>
        </w:tc>
        <w:tc>
          <w:tcPr>
            <w:tcW w:w="5226" w:type="dxa"/>
            <w:shd w:val="clear" w:color="auto" w:fill="EEEEEE"/>
          </w:tcPr>
          <w:p w14:paraId="644AC181"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Report any assessment of direction of causal relationship (e.g., bidirectional MR)</w:t>
            </w:r>
          </w:p>
        </w:tc>
        <w:tc>
          <w:tcPr>
            <w:tcW w:w="746" w:type="dxa"/>
            <w:shd w:val="clear" w:color="auto" w:fill="EEEEEE"/>
          </w:tcPr>
          <w:p w14:paraId="644AC182"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w:t>
            </w:r>
          </w:p>
        </w:tc>
        <w:tc>
          <w:tcPr>
            <w:tcW w:w="6109" w:type="dxa"/>
            <w:shd w:val="clear" w:color="auto" w:fill="EEEEEE"/>
          </w:tcPr>
          <w:p w14:paraId="644AC183"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Not performed. The study is unidirectional (brain features/gene expression -&gt; disease).</w:t>
            </w:r>
          </w:p>
        </w:tc>
      </w:tr>
      <w:tr w:rsidR="00EE797D" w14:paraId="644AC18A" w14:textId="77777777">
        <w:tc>
          <w:tcPr>
            <w:tcW w:w="587" w:type="dxa"/>
          </w:tcPr>
          <w:p w14:paraId="644AC185"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tcPr>
          <w:p w14:paraId="644AC186"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d)</w:t>
            </w:r>
          </w:p>
        </w:tc>
        <w:tc>
          <w:tcPr>
            <w:tcW w:w="5226" w:type="dxa"/>
          </w:tcPr>
          <w:p w14:paraId="644AC187"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When relevant, report and compare with estimates from non-MR analyses</w:t>
            </w:r>
          </w:p>
        </w:tc>
        <w:tc>
          <w:tcPr>
            <w:tcW w:w="746" w:type="dxa"/>
          </w:tcPr>
          <w:p w14:paraId="644AC188"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w:t>
            </w:r>
          </w:p>
        </w:tc>
        <w:tc>
          <w:tcPr>
            <w:tcW w:w="6109" w:type="dxa"/>
          </w:tcPr>
          <w:p w14:paraId="644AC189"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Not done.</w:t>
            </w:r>
          </w:p>
        </w:tc>
      </w:tr>
      <w:tr w:rsidR="00EE797D" w14:paraId="644AC190" w14:textId="77777777">
        <w:tc>
          <w:tcPr>
            <w:tcW w:w="587" w:type="dxa"/>
            <w:tcBorders>
              <w:bottom w:val="single" w:sz="6" w:space="0" w:color="7F7F7F"/>
            </w:tcBorders>
            <w:shd w:val="clear" w:color="auto" w:fill="EEEEEE"/>
          </w:tcPr>
          <w:p w14:paraId="644AC18B"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tcBorders>
              <w:bottom w:val="single" w:sz="6" w:space="0" w:color="7F7F7F"/>
            </w:tcBorders>
            <w:shd w:val="clear" w:color="auto" w:fill="EEEEEE"/>
          </w:tcPr>
          <w:p w14:paraId="644AC18C"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e)</w:t>
            </w:r>
          </w:p>
        </w:tc>
        <w:tc>
          <w:tcPr>
            <w:tcW w:w="5226" w:type="dxa"/>
            <w:tcBorders>
              <w:bottom w:val="single" w:sz="6" w:space="0" w:color="7F7F7F"/>
            </w:tcBorders>
            <w:shd w:val="clear" w:color="auto" w:fill="EEEEEE"/>
          </w:tcPr>
          <w:p w14:paraId="644AC18D"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Consider additional plots to visualize results (e.g., leave-one-out analyses)</w:t>
            </w:r>
          </w:p>
        </w:tc>
        <w:tc>
          <w:tcPr>
            <w:tcW w:w="746" w:type="dxa"/>
            <w:tcBorders>
              <w:bottom w:val="single" w:sz="6" w:space="0" w:color="7F7F7F"/>
            </w:tcBorders>
            <w:shd w:val="clear" w:color="auto" w:fill="EEEEEE"/>
          </w:tcPr>
          <w:p w14:paraId="644AC18E"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w:t>
            </w:r>
          </w:p>
        </w:tc>
        <w:tc>
          <w:tcPr>
            <w:tcW w:w="6109" w:type="dxa"/>
            <w:tcBorders>
              <w:bottom w:val="single" w:sz="6" w:space="0" w:color="7F7F7F"/>
            </w:tcBorders>
            <w:shd w:val="clear" w:color="auto" w:fill="EEEEEE"/>
          </w:tcPr>
          <w:p w14:paraId="644AC18F"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Leave-one-out analysis was a performed method (p.8), but specific plots are not included in the provided figures.</w:t>
            </w:r>
          </w:p>
        </w:tc>
      </w:tr>
      <w:tr w:rsidR="00EE797D" w14:paraId="644AC196" w14:textId="77777777">
        <w:tc>
          <w:tcPr>
            <w:tcW w:w="587" w:type="dxa"/>
            <w:tcBorders>
              <w:top w:val="single" w:sz="6" w:space="0" w:color="7F7F7F"/>
            </w:tcBorders>
          </w:tcPr>
          <w:p w14:paraId="644AC191" w14:textId="77777777" w:rsidR="00EE797D" w:rsidRDefault="00EE797D">
            <w:pPr>
              <w:spacing w:beforeLines="40" w:before="96" w:afterLines="40" w:after="96" w:line="24" w:lineRule="atLeast"/>
              <w:rPr>
                <w:rFonts w:ascii="Times New Roman" w:eastAsia="Times New Roman" w:hAnsi="Times New Roman" w:cs="Times New Roman"/>
                <w:b/>
                <w:bCs/>
                <w:sz w:val="18"/>
                <w:szCs w:val="18"/>
                <w:lang w:val="en-GB" w:eastAsia="en-GB"/>
              </w:rPr>
            </w:pPr>
          </w:p>
        </w:tc>
        <w:tc>
          <w:tcPr>
            <w:tcW w:w="1822" w:type="dxa"/>
            <w:tcBorders>
              <w:top w:val="single" w:sz="6" w:space="0" w:color="7F7F7F"/>
            </w:tcBorders>
          </w:tcPr>
          <w:p w14:paraId="644AC192"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b/>
                <w:bCs/>
                <w:sz w:val="18"/>
                <w:szCs w:val="18"/>
                <w:lang w:val="en-GB" w:eastAsia="en-GB"/>
              </w:rPr>
              <w:t>DISCUSSION</w:t>
            </w:r>
          </w:p>
        </w:tc>
        <w:tc>
          <w:tcPr>
            <w:tcW w:w="5226" w:type="dxa"/>
            <w:tcBorders>
              <w:top w:val="single" w:sz="6" w:space="0" w:color="7F7F7F"/>
            </w:tcBorders>
          </w:tcPr>
          <w:p w14:paraId="644AC193" w14:textId="77777777" w:rsidR="00EE797D" w:rsidRDefault="00EE797D">
            <w:pPr>
              <w:spacing w:beforeLines="40" w:before="96" w:afterLines="40" w:after="96" w:line="24" w:lineRule="atLeast"/>
              <w:rPr>
                <w:rFonts w:ascii="Times New Roman" w:eastAsia="Cambria" w:hAnsi="Times New Roman" w:cs="Times New Roman"/>
                <w:sz w:val="18"/>
                <w:szCs w:val="18"/>
                <w:lang w:val="en-GB" w:eastAsia="en-US"/>
              </w:rPr>
            </w:pPr>
          </w:p>
        </w:tc>
        <w:tc>
          <w:tcPr>
            <w:tcW w:w="746" w:type="dxa"/>
            <w:tcBorders>
              <w:top w:val="single" w:sz="6" w:space="0" w:color="7F7F7F"/>
            </w:tcBorders>
          </w:tcPr>
          <w:p w14:paraId="644AC194" w14:textId="77777777" w:rsidR="00EE797D" w:rsidRDefault="00EE797D">
            <w:pPr>
              <w:spacing w:beforeLines="40" w:before="96" w:afterLines="40" w:after="96" w:line="24" w:lineRule="atLeast"/>
              <w:rPr>
                <w:rFonts w:ascii="Times New Roman" w:eastAsia="Cambria" w:hAnsi="Times New Roman" w:cs="Times New Roman"/>
                <w:sz w:val="18"/>
                <w:szCs w:val="18"/>
                <w:lang w:val="en-GB" w:eastAsia="en-US"/>
              </w:rPr>
            </w:pPr>
          </w:p>
        </w:tc>
        <w:tc>
          <w:tcPr>
            <w:tcW w:w="6109" w:type="dxa"/>
            <w:tcBorders>
              <w:top w:val="single" w:sz="6" w:space="0" w:color="7F7F7F"/>
            </w:tcBorders>
          </w:tcPr>
          <w:p w14:paraId="644AC195" w14:textId="77777777" w:rsidR="00EE797D" w:rsidRDefault="00EE797D">
            <w:pPr>
              <w:spacing w:beforeLines="40" w:before="96" w:afterLines="40" w:after="96" w:line="24" w:lineRule="atLeast"/>
              <w:rPr>
                <w:rFonts w:ascii="Times New Roman" w:eastAsia="Cambria" w:hAnsi="Times New Roman" w:cs="Times New Roman"/>
                <w:sz w:val="18"/>
                <w:szCs w:val="18"/>
                <w:lang w:val="en-GB" w:eastAsia="en-US"/>
              </w:rPr>
            </w:pPr>
          </w:p>
        </w:tc>
      </w:tr>
      <w:tr w:rsidR="00EE797D" w14:paraId="644AC19C" w14:textId="77777777">
        <w:tc>
          <w:tcPr>
            <w:tcW w:w="587" w:type="dxa"/>
            <w:shd w:val="clear" w:color="auto" w:fill="EEEEEE"/>
          </w:tcPr>
          <w:p w14:paraId="644AC197" w14:textId="77777777" w:rsidR="00EE797D" w:rsidRDefault="00C0373C">
            <w:pPr>
              <w:spacing w:beforeLines="40" w:before="96" w:afterLines="40" w:after="96" w:line="24" w:lineRule="atLeast"/>
              <w:rPr>
                <w:rFonts w:ascii="Times New Roman" w:eastAsia="Times New Roman" w:hAnsi="Times New Roman" w:cs="Times New Roman"/>
                <w:b/>
                <w:bCs/>
                <w:sz w:val="18"/>
                <w:szCs w:val="18"/>
                <w:lang w:val="en-GB" w:eastAsia="en-GB"/>
              </w:rPr>
            </w:pPr>
            <w:r>
              <w:rPr>
                <w:rFonts w:ascii="Times New Roman" w:eastAsia="Times New Roman" w:hAnsi="Times New Roman" w:cs="Times New Roman"/>
                <w:sz w:val="18"/>
                <w:szCs w:val="18"/>
                <w:lang w:val="en-GB" w:eastAsia="en-GB"/>
              </w:rPr>
              <w:t>14</w:t>
            </w:r>
          </w:p>
        </w:tc>
        <w:tc>
          <w:tcPr>
            <w:tcW w:w="1822" w:type="dxa"/>
            <w:shd w:val="clear" w:color="auto" w:fill="EEEEEE"/>
          </w:tcPr>
          <w:p w14:paraId="644AC198"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b/>
                <w:bCs/>
                <w:sz w:val="18"/>
                <w:szCs w:val="18"/>
                <w:lang w:val="en-GB" w:eastAsia="en-GB"/>
              </w:rPr>
              <w:t>Key results </w:t>
            </w:r>
          </w:p>
        </w:tc>
        <w:tc>
          <w:tcPr>
            <w:tcW w:w="5226" w:type="dxa"/>
            <w:shd w:val="clear" w:color="auto" w:fill="EEEEEE"/>
          </w:tcPr>
          <w:p w14:paraId="644AC199"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Summarize key results with reference to study objectives</w:t>
            </w:r>
          </w:p>
        </w:tc>
        <w:tc>
          <w:tcPr>
            <w:tcW w:w="746" w:type="dxa"/>
            <w:shd w:val="clear" w:color="auto" w:fill="EEEEEE"/>
          </w:tcPr>
          <w:p w14:paraId="644AC19A"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11-12</w:t>
            </w:r>
          </w:p>
        </w:tc>
        <w:tc>
          <w:tcPr>
            <w:tcW w:w="6109" w:type="dxa"/>
            <w:shd w:val="clear" w:color="auto" w:fill="EEEEEE"/>
          </w:tcPr>
          <w:p w14:paraId="644AC19B"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Start of Discussion (p.11-12) summarizes key findings: causal effects of multiple UDIPs and brain-region genes (especially HLA genes) on four NDDs, identification of shared and distinct genetic factors.</w:t>
            </w:r>
          </w:p>
        </w:tc>
      </w:tr>
      <w:tr w:rsidR="00EE797D" w14:paraId="644AC1A2" w14:textId="77777777">
        <w:tc>
          <w:tcPr>
            <w:tcW w:w="587" w:type="dxa"/>
          </w:tcPr>
          <w:p w14:paraId="644AC19D" w14:textId="77777777" w:rsidR="00EE797D" w:rsidRDefault="00C0373C">
            <w:pPr>
              <w:spacing w:beforeLines="40" w:before="96" w:afterLines="40" w:after="96" w:line="24" w:lineRule="atLeast"/>
              <w:rPr>
                <w:rFonts w:ascii="Times New Roman" w:eastAsia="Times New Roman" w:hAnsi="Times New Roman" w:cs="Times New Roman"/>
                <w:b/>
                <w:bCs/>
                <w:sz w:val="18"/>
                <w:szCs w:val="18"/>
                <w:lang w:val="en-GB" w:eastAsia="en-GB"/>
              </w:rPr>
            </w:pPr>
            <w:r>
              <w:rPr>
                <w:rFonts w:ascii="Times New Roman" w:eastAsia="Times New Roman" w:hAnsi="Times New Roman" w:cs="Times New Roman"/>
                <w:sz w:val="18"/>
                <w:szCs w:val="18"/>
                <w:lang w:val="en-GB" w:eastAsia="en-GB"/>
              </w:rPr>
              <w:t>15</w:t>
            </w:r>
          </w:p>
        </w:tc>
        <w:tc>
          <w:tcPr>
            <w:tcW w:w="1822" w:type="dxa"/>
          </w:tcPr>
          <w:p w14:paraId="644AC19E"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b/>
                <w:bCs/>
                <w:sz w:val="18"/>
                <w:szCs w:val="18"/>
                <w:lang w:val="en-GB" w:eastAsia="en-GB"/>
              </w:rPr>
              <w:t>Limitations</w:t>
            </w:r>
          </w:p>
        </w:tc>
        <w:tc>
          <w:tcPr>
            <w:tcW w:w="5226" w:type="dxa"/>
          </w:tcPr>
          <w:p w14:paraId="644AC19F"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Discuss limitations of the study, taking into account the validity of the IV assumptions, other sources of potential bias, and imprecision. Discuss both direction and magnitude of any potential bias and any efforts to address them</w:t>
            </w:r>
            <w:r>
              <w:rPr>
                <w:rFonts w:ascii="Times New Roman" w:eastAsia="Times New Roman" w:hAnsi="Times New Roman" w:cs="Times New Roman"/>
                <w:sz w:val="18"/>
                <w:szCs w:val="18"/>
                <w:shd w:val="clear" w:color="auto" w:fill="FFFFFF"/>
                <w:lang w:val="en-GB" w:eastAsia="en-GB"/>
              </w:rPr>
              <w:t> </w:t>
            </w:r>
          </w:p>
        </w:tc>
        <w:tc>
          <w:tcPr>
            <w:tcW w:w="746" w:type="dxa"/>
          </w:tcPr>
          <w:p w14:paraId="644AC1A0"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17</w:t>
            </w:r>
          </w:p>
        </w:tc>
        <w:tc>
          <w:tcPr>
            <w:tcW w:w="6109" w:type="dxa"/>
          </w:tcPr>
          <w:p w14:paraId="644AC1A1"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Style w:val="Pogrubienie"/>
                <w:rFonts w:ascii="Times New Roman" w:eastAsia="Segoe UI" w:hAnsi="Times New Roman" w:cs="Times New Roman"/>
                <w:bCs/>
                <w:color w:val="0F1115"/>
                <w:sz w:val="15"/>
                <w:szCs w:val="15"/>
                <w:shd w:val="clear" w:color="auto" w:fill="FFFFFF"/>
              </w:rPr>
              <w:t>Major Limitation:</w:t>
            </w:r>
            <w:r>
              <w:rPr>
                <w:rFonts w:ascii="Times New Roman" w:eastAsia="Segoe UI" w:hAnsi="Times New Roman" w:cs="Times New Roman"/>
                <w:color w:val="0F1115"/>
                <w:sz w:val="15"/>
                <w:szCs w:val="15"/>
                <w:shd w:val="clear" w:color="auto" w:fill="FFFFFF"/>
              </w:rPr>
              <w:t> Reliance on European-ancestry data limits generalizability, especially for HLA/MHC findings which may be population-specific due to complex LD. (p.17).</w:t>
            </w:r>
            <w:r>
              <w:rPr>
                <w:rFonts w:ascii="Times New Roman" w:eastAsia="Segoe UI" w:hAnsi="Times New Roman" w:cs="Times New Roman"/>
                <w:color w:val="0F1115"/>
                <w:sz w:val="15"/>
                <w:szCs w:val="15"/>
                <w:shd w:val="clear" w:color="auto" w:fill="FFFFFF"/>
              </w:rPr>
              <w:br/>
            </w:r>
            <w:r>
              <w:rPr>
                <w:rStyle w:val="Pogrubienie"/>
                <w:rFonts w:ascii="Times New Roman" w:eastAsia="Segoe UI" w:hAnsi="Times New Roman" w:cs="Times New Roman"/>
                <w:bCs/>
                <w:color w:val="0F1115"/>
                <w:sz w:val="15"/>
                <w:szCs w:val="15"/>
                <w:shd w:val="clear" w:color="auto" w:fill="FFFFFF"/>
              </w:rPr>
              <w:t>Addressing LD:</w:t>
            </w:r>
            <w:r>
              <w:rPr>
                <w:rFonts w:ascii="Times New Roman" w:eastAsia="Segoe UI" w:hAnsi="Times New Roman" w:cs="Times New Roman"/>
                <w:color w:val="0F1115"/>
                <w:sz w:val="15"/>
                <w:szCs w:val="15"/>
                <w:shd w:val="clear" w:color="auto" w:fill="FFFFFF"/>
              </w:rPr>
              <w:t> Use of HEIDI test to assess robustness in MHC region. (p.17). Acknowledges challenge of LD in MHC despite using standard 100 kb window. (p.17).</w:t>
            </w:r>
          </w:p>
        </w:tc>
      </w:tr>
      <w:tr w:rsidR="00EE797D" w14:paraId="644AC1A8" w14:textId="77777777">
        <w:tc>
          <w:tcPr>
            <w:tcW w:w="587" w:type="dxa"/>
            <w:shd w:val="clear" w:color="auto" w:fill="EEEEEE"/>
          </w:tcPr>
          <w:p w14:paraId="644AC1A3" w14:textId="77777777" w:rsidR="00EE797D" w:rsidRDefault="00C0373C">
            <w:pPr>
              <w:spacing w:beforeLines="40" w:before="96" w:afterLines="40" w:after="96" w:line="24" w:lineRule="atLeast"/>
              <w:rPr>
                <w:rFonts w:ascii="Times New Roman" w:eastAsia="Times New Roman" w:hAnsi="Times New Roman" w:cs="Times New Roman"/>
                <w:b/>
                <w:bCs/>
                <w:sz w:val="18"/>
                <w:szCs w:val="18"/>
                <w:lang w:val="en-GB" w:eastAsia="en-GB"/>
              </w:rPr>
            </w:pPr>
            <w:r>
              <w:rPr>
                <w:rFonts w:ascii="Times New Roman" w:eastAsia="Times New Roman" w:hAnsi="Times New Roman" w:cs="Times New Roman"/>
                <w:sz w:val="18"/>
                <w:szCs w:val="18"/>
                <w:lang w:val="en-GB" w:eastAsia="en-GB"/>
              </w:rPr>
              <w:lastRenderedPageBreak/>
              <w:t>16</w:t>
            </w:r>
          </w:p>
        </w:tc>
        <w:tc>
          <w:tcPr>
            <w:tcW w:w="1822" w:type="dxa"/>
            <w:shd w:val="clear" w:color="auto" w:fill="EEEEEE"/>
          </w:tcPr>
          <w:p w14:paraId="644AC1A4"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b/>
                <w:bCs/>
                <w:sz w:val="18"/>
                <w:szCs w:val="18"/>
                <w:lang w:val="en-GB" w:eastAsia="en-GB"/>
              </w:rPr>
              <w:t>Interpretation</w:t>
            </w:r>
          </w:p>
        </w:tc>
        <w:tc>
          <w:tcPr>
            <w:tcW w:w="5226" w:type="dxa"/>
            <w:shd w:val="clear" w:color="auto" w:fill="EEEEEE"/>
          </w:tcPr>
          <w:p w14:paraId="644AC1A5" w14:textId="77777777" w:rsidR="00EE797D" w:rsidRDefault="00EE797D">
            <w:pPr>
              <w:spacing w:beforeLines="40" w:before="96" w:afterLines="40" w:after="96" w:line="24" w:lineRule="atLeast"/>
              <w:rPr>
                <w:rFonts w:ascii="Times New Roman" w:eastAsia="Cambria" w:hAnsi="Times New Roman" w:cs="Times New Roman"/>
                <w:sz w:val="18"/>
                <w:szCs w:val="18"/>
                <w:lang w:val="en-GB" w:eastAsia="en-US"/>
              </w:rPr>
            </w:pPr>
          </w:p>
        </w:tc>
        <w:tc>
          <w:tcPr>
            <w:tcW w:w="746" w:type="dxa"/>
            <w:shd w:val="clear" w:color="auto" w:fill="EEEEEE"/>
          </w:tcPr>
          <w:p w14:paraId="644AC1A6"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11-17</w:t>
            </w:r>
          </w:p>
        </w:tc>
        <w:tc>
          <w:tcPr>
            <w:tcW w:w="6109" w:type="dxa"/>
            <w:shd w:val="clear" w:color="auto" w:fill="EEEEEE"/>
          </w:tcPr>
          <w:p w14:paraId="644AC1A7"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Style w:val="Pogrubienie"/>
                <w:rFonts w:ascii="Times New Roman" w:eastAsia="Segoe UI" w:hAnsi="Times New Roman" w:cs="Times New Roman"/>
                <w:bCs/>
                <w:color w:val="0F1115"/>
                <w:sz w:val="15"/>
                <w:szCs w:val="15"/>
                <w:shd w:val="clear" w:color="auto" w:fill="FFFFFF"/>
              </w:rPr>
              <w:t>Meaning:</w:t>
            </w:r>
            <w:r>
              <w:rPr>
                <w:rFonts w:ascii="Times New Roman" w:eastAsia="Segoe UI" w:hAnsi="Times New Roman" w:cs="Times New Roman"/>
                <w:color w:val="0F1115"/>
                <w:sz w:val="15"/>
                <w:szCs w:val="15"/>
                <w:shd w:val="clear" w:color="auto" w:fill="FFFFFF"/>
              </w:rPr>
              <w:t> Results are interpreted cautiously in context of limitations and prior literature. Language includes “provides genetic evidence suggestive of potential causal links” (Abstract), “lending support to the potential universality” (p.16).</w:t>
            </w:r>
            <w:r>
              <w:rPr>
                <w:rFonts w:ascii="Times New Roman" w:eastAsia="Segoe UI" w:hAnsi="Times New Roman" w:cs="Times New Roman"/>
                <w:color w:val="0F1115"/>
                <w:sz w:val="15"/>
                <w:szCs w:val="15"/>
                <w:shd w:val="clear" w:color="auto" w:fill="FFFFFF"/>
              </w:rPr>
              <w:br/>
            </w:r>
            <w:r>
              <w:rPr>
                <w:rStyle w:val="Pogrubienie"/>
                <w:rFonts w:ascii="Times New Roman" w:eastAsia="Segoe UI" w:hAnsi="Times New Roman" w:cs="Times New Roman"/>
                <w:bCs/>
                <w:color w:val="0F1115"/>
                <w:sz w:val="15"/>
                <w:szCs w:val="15"/>
                <w:shd w:val="clear" w:color="auto" w:fill="FFFFFF"/>
              </w:rPr>
              <w:t>Mechanism:</w:t>
            </w:r>
            <w:r>
              <w:rPr>
                <w:rFonts w:ascii="Times New Roman" w:eastAsia="Segoe UI" w:hAnsi="Times New Roman" w:cs="Times New Roman"/>
                <w:color w:val="0F1115"/>
                <w:sz w:val="15"/>
                <w:szCs w:val="15"/>
                <w:shd w:val="clear" w:color="auto" w:fill="FFFFFF"/>
              </w:rPr>
              <w:t> Extensive discussion on potential biological mechanisms, especially for HLA genes (five immune-mediated mechanisms detailed on p.14-16). Causal language is used but clarified by reliance on MR/HEIDI assumptions.</w:t>
            </w:r>
            <w:r>
              <w:rPr>
                <w:rFonts w:ascii="Times New Roman" w:eastAsia="Segoe UI" w:hAnsi="Times New Roman" w:cs="Times New Roman"/>
                <w:color w:val="0F1115"/>
                <w:sz w:val="15"/>
                <w:szCs w:val="15"/>
                <w:shd w:val="clear" w:color="auto" w:fill="FFFFFF"/>
              </w:rPr>
              <w:br/>
            </w:r>
            <w:r>
              <w:rPr>
                <w:rStyle w:val="Pogrubienie"/>
                <w:rFonts w:ascii="Times New Roman" w:eastAsia="Segoe UI" w:hAnsi="Times New Roman" w:cs="Times New Roman"/>
                <w:bCs/>
                <w:color w:val="0F1115"/>
                <w:sz w:val="15"/>
                <w:szCs w:val="15"/>
                <w:shd w:val="clear" w:color="auto" w:fill="FFFFFF"/>
              </w:rPr>
              <w:t>Clinical Relevance:</w:t>
            </w:r>
            <w:r>
              <w:rPr>
                <w:rFonts w:ascii="Times New Roman" w:eastAsia="Segoe UI" w:hAnsi="Times New Roman" w:cs="Times New Roman"/>
                <w:color w:val="0F1115"/>
                <w:sz w:val="15"/>
                <w:szCs w:val="15"/>
                <w:shd w:val="clear" w:color="auto" w:fill="FFFFFF"/>
              </w:rPr>
              <w:t> Discussed implicitly by linking findings to disease pathogenesis and identifying potential therapeutic targets (e.g., “providing a rationale for prioritizing these immune pathways in future experimental studies”, p.16). Direct clinical translation is not specified.</w:t>
            </w:r>
          </w:p>
        </w:tc>
      </w:tr>
      <w:tr w:rsidR="00EE797D" w14:paraId="644AC1AE" w14:textId="77777777">
        <w:tc>
          <w:tcPr>
            <w:tcW w:w="587" w:type="dxa"/>
          </w:tcPr>
          <w:p w14:paraId="644AC1A9"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tcPr>
          <w:p w14:paraId="644AC1AA"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a)</w:t>
            </w:r>
          </w:p>
        </w:tc>
        <w:tc>
          <w:tcPr>
            <w:tcW w:w="5226" w:type="dxa"/>
          </w:tcPr>
          <w:p w14:paraId="644AC1AB"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Meaning: Give a cautious overall interpretation of results in the context of their limitations and in comparison with other studies</w:t>
            </w:r>
          </w:p>
        </w:tc>
        <w:tc>
          <w:tcPr>
            <w:tcW w:w="746" w:type="dxa"/>
          </w:tcPr>
          <w:p w14:paraId="644AC1AC"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11-17</w:t>
            </w:r>
          </w:p>
        </w:tc>
        <w:tc>
          <w:tcPr>
            <w:tcW w:w="6109" w:type="dxa"/>
          </w:tcPr>
          <w:p w14:paraId="644AC1AD"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As above. Comparisons with previous imaging and genetic studies are made throughout the Discussion.</w:t>
            </w:r>
          </w:p>
        </w:tc>
      </w:tr>
      <w:tr w:rsidR="00EE797D" w14:paraId="644AC1B4" w14:textId="77777777">
        <w:tc>
          <w:tcPr>
            <w:tcW w:w="587" w:type="dxa"/>
            <w:shd w:val="clear" w:color="auto" w:fill="EEEEEE"/>
          </w:tcPr>
          <w:p w14:paraId="644AC1AF"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shd w:val="clear" w:color="auto" w:fill="EEEEEE"/>
          </w:tcPr>
          <w:p w14:paraId="644AC1B0"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b)</w:t>
            </w:r>
          </w:p>
        </w:tc>
        <w:tc>
          <w:tcPr>
            <w:tcW w:w="5226" w:type="dxa"/>
            <w:shd w:val="clear" w:color="auto" w:fill="EEEEEE"/>
          </w:tcPr>
          <w:p w14:paraId="644AC1B1"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 xml:space="preserve">Mechanism: Discuss underlying biological mechanisms that could drive a potential causal relationship between the investigated exposure and the outcome, and whether the gene-environment equivalence assumption is reasonable. Use causal language carefully, clarifying that IV estimates may provide causal effects only under certain assumptions </w:t>
            </w:r>
          </w:p>
        </w:tc>
        <w:tc>
          <w:tcPr>
            <w:tcW w:w="746" w:type="dxa"/>
            <w:shd w:val="clear" w:color="auto" w:fill="EEEEEE"/>
          </w:tcPr>
          <w:p w14:paraId="644AC1B2"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13-16</w:t>
            </w:r>
          </w:p>
        </w:tc>
        <w:tc>
          <w:tcPr>
            <w:tcW w:w="6109" w:type="dxa"/>
            <w:shd w:val="clear" w:color="auto" w:fill="EEEEEE"/>
          </w:tcPr>
          <w:p w14:paraId="644AC1B3"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Detailed discussion of potential HLA-mediated immune mechanisms (antigen presentation, immune cell dysfunction, etc.) linking brain gene expression to NDDs (p.13-16). The gene-environment equivalence assumption is inherent to MR and is not explicitly discussed.</w:t>
            </w:r>
          </w:p>
        </w:tc>
      </w:tr>
      <w:tr w:rsidR="00EE797D" w14:paraId="644AC1BA" w14:textId="77777777">
        <w:tc>
          <w:tcPr>
            <w:tcW w:w="587" w:type="dxa"/>
          </w:tcPr>
          <w:p w14:paraId="644AC1B5" w14:textId="77777777" w:rsidR="00EE797D" w:rsidRDefault="00EE797D">
            <w:pPr>
              <w:spacing w:beforeLines="40" w:before="96" w:afterLines="40" w:after="96" w:line="24" w:lineRule="atLeast"/>
              <w:jc w:val="right"/>
              <w:rPr>
                <w:rFonts w:ascii="Times New Roman" w:eastAsia="Cambria" w:hAnsi="Times New Roman" w:cs="Times New Roman"/>
                <w:b/>
                <w:bCs/>
                <w:sz w:val="18"/>
                <w:szCs w:val="18"/>
                <w:lang w:val="en-GB" w:eastAsia="en-US"/>
              </w:rPr>
            </w:pPr>
          </w:p>
        </w:tc>
        <w:tc>
          <w:tcPr>
            <w:tcW w:w="1822" w:type="dxa"/>
          </w:tcPr>
          <w:p w14:paraId="644AC1B6" w14:textId="77777777" w:rsidR="00EE797D" w:rsidRDefault="00C0373C">
            <w:pPr>
              <w:spacing w:beforeLines="40" w:before="96" w:afterLines="40" w:after="96" w:line="24" w:lineRule="atLeast"/>
              <w:jc w:val="right"/>
              <w:rPr>
                <w:rFonts w:ascii="Times New Roman" w:eastAsia="Cambria" w:hAnsi="Times New Roman" w:cs="Times New Roman"/>
                <w:sz w:val="18"/>
                <w:szCs w:val="18"/>
                <w:lang w:val="en-GB" w:eastAsia="en-US"/>
              </w:rPr>
            </w:pPr>
            <w:r>
              <w:rPr>
                <w:rFonts w:ascii="Times New Roman" w:eastAsia="Cambria" w:hAnsi="Times New Roman" w:cs="Times New Roman"/>
                <w:sz w:val="18"/>
                <w:szCs w:val="18"/>
                <w:lang w:val="en-GB" w:eastAsia="en-US"/>
              </w:rPr>
              <w:t>c)</w:t>
            </w:r>
          </w:p>
        </w:tc>
        <w:tc>
          <w:tcPr>
            <w:tcW w:w="5226" w:type="dxa"/>
          </w:tcPr>
          <w:p w14:paraId="644AC1B7" w14:textId="77777777" w:rsidR="00EE797D" w:rsidRDefault="00C0373C">
            <w:pPr>
              <w:tabs>
                <w:tab w:val="left" w:pos="1350"/>
              </w:tabs>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 xml:space="preserve">Clinical relevance: Discuss whether the results have clinical or public policy relevance, and </w:t>
            </w:r>
            <w:r>
              <w:rPr>
                <w:rFonts w:ascii="Times New Roman" w:eastAsia="Times New Roman" w:hAnsi="Times New Roman" w:cs="Times New Roman"/>
                <w:color w:val="000000"/>
                <w:sz w:val="18"/>
                <w:szCs w:val="18"/>
                <w:lang w:eastAsia="en-GB"/>
              </w:rPr>
              <w:t>to what extent they inform effect sizes of possible interventions</w:t>
            </w:r>
          </w:p>
        </w:tc>
        <w:tc>
          <w:tcPr>
            <w:tcW w:w="746" w:type="dxa"/>
          </w:tcPr>
          <w:p w14:paraId="644AC1B8" w14:textId="77777777" w:rsidR="00EE797D" w:rsidRDefault="00C0373C">
            <w:pPr>
              <w:tabs>
                <w:tab w:val="left" w:pos="1350"/>
              </w:tabs>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16</w:t>
            </w:r>
          </w:p>
        </w:tc>
        <w:tc>
          <w:tcPr>
            <w:tcW w:w="6109" w:type="dxa"/>
          </w:tcPr>
          <w:p w14:paraId="644AC1B9" w14:textId="77777777" w:rsidR="00EE797D" w:rsidRDefault="00C0373C">
            <w:pPr>
              <w:tabs>
                <w:tab w:val="left" w:pos="1350"/>
              </w:tabs>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Segoe UI" w:hAnsi="Times New Roman" w:cs="Times New Roman"/>
                <w:color w:val="0F1115"/>
                <w:sz w:val="15"/>
                <w:szCs w:val="15"/>
                <w:shd w:val="clear" w:color="auto" w:fill="FFFFFF"/>
              </w:rPr>
              <w:t>Clinical relevance is framed in terms of informing future mechanistic and experimental research priorities rather than direct clinical application or intervention effect sizes.</w:t>
            </w:r>
          </w:p>
        </w:tc>
      </w:tr>
      <w:tr w:rsidR="00EE797D" w14:paraId="644AC1C0" w14:textId="77777777">
        <w:tc>
          <w:tcPr>
            <w:tcW w:w="587" w:type="dxa"/>
            <w:tcBorders>
              <w:bottom w:val="single" w:sz="6" w:space="0" w:color="7F7F7F"/>
            </w:tcBorders>
            <w:shd w:val="clear" w:color="auto" w:fill="EEEEEE"/>
          </w:tcPr>
          <w:p w14:paraId="644AC1BB" w14:textId="77777777" w:rsidR="00EE797D" w:rsidRDefault="00C0373C">
            <w:pPr>
              <w:spacing w:beforeLines="40" w:before="96" w:afterLines="40" w:after="96" w:line="24" w:lineRule="atLeast"/>
              <w:rPr>
                <w:rFonts w:ascii="Times New Roman" w:eastAsia="Times New Roman" w:hAnsi="Times New Roman" w:cs="Times New Roman"/>
                <w:b/>
                <w:bCs/>
                <w:sz w:val="18"/>
                <w:szCs w:val="18"/>
                <w:lang w:val="en-GB" w:eastAsia="en-GB"/>
              </w:rPr>
            </w:pPr>
            <w:r>
              <w:rPr>
                <w:rFonts w:ascii="Times New Roman" w:eastAsia="Times New Roman" w:hAnsi="Times New Roman" w:cs="Times New Roman"/>
                <w:sz w:val="18"/>
                <w:szCs w:val="18"/>
                <w:lang w:val="en-GB" w:eastAsia="en-GB"/>
              </w:rPr>
              <w:t>17</w:t>
            </w:r>
          </w:p>
        </w:tc>
        <w:tc>
          <w:tcPr>
            <w:tcW w:w="1822" w:type="dxa"/>
            <w:tcBorders>
              <w:bottom w:val="single" w:sz="6" w:space="0" w:color="7F7F7F"/>
            </w:tcBorders>
            <w:shd w:val="clear" w:color="auto" w:fill="EEEEEE"/>
          </w:tcPr>
          <w:p w14:paraId="644AC1BC"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b/>
                <w:bCs/>
                <w:sz w:val="18"/>
                <w:szCs w:val="18"/>
                <w:lang w:val="en-GB" w:eastAsia="en-GB"/>
              </w:rPr>
              <w:t xml:space="preserve">Generalizability  </w:t>
            </w:r>
            <w:r>
              <w:rPr>
                <w:rFonts w:ascii="Times New Roman" w:eastAsia="Times New Roman" w:hAnsi="Times New Roman" w:cs="Times New Roman"/>
                <w:sz w:val="18"/>
                <w:szCs w:val="18"/>
                <w:lang w:val="en-GB" w:eastAsia="en-GB"/>
              </w:rPr>
              <w:t> </w:t>
            </w:r>
          </w:p>
        </w:tc>
        <w:tc>
          <w:tcPr>
            <w:tcW w:w="5226" w:type="dxa"/>
            <w:tcBorders>
              <w:bottom w:val="single" w:sz="6" w:space="0" w:color="7F7F7F"/>
            </w:tcBorders>
            <w:shd w:val="clear" w:color="auto" w:fill="EEEEEE"/>
          </w:tcPr>
          <w:p w14:paraId="644AC1BD"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sz w:val="18"/>
                <w:szCs w:val="18"/>
                <w:lang w:val="en-GB" w:eastAsia="en-GB"/>
              </w:rPr>
              <w:t>Discuss the generalizability of the study results (a) to other populations, (b) across other exposure periods/timings, and (c) across other levels of exposure</w:t>
            </w:r>
          </w:p>
        </w:tc>
        <w:tc>
          <w:tcPr>
            <w:tcW w:w="746" w:type="dxa"/>
            <w:tcBorders>
              <w:bottom w:val="single" w:sz="6" w:space="0" w:color="7F7F7F"/>
            </w:tcBorders>
            <w:shd w:val="clear" w:color="auto" w:fill="EEEEEE"/>
          </w:tcPr>
          <w:p w14:paraId="644AC1BE"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17,18</w:t>
            </w:r>
          </w:p>
        </w:tc>
        <w:tc>
          <w:tcPr>
            <w:tcW w:w="6109" w:type="dxa"/>
            <w:tcBorders>
              <w:bottom w:val="single" w:sz="6" w:space="0" w:color="7F7F7F"/>
            </w:tcBorders>
            <w:shd w:val="clear" w:color="auto" w:fill="EEEEEE"/>
          </w:tcPr>
          <w:p w14:paraId="644AC1BF"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Style w:val="Pogrubienie"/>
                <w:rFonts w:ascii="Times New Roman" w:eastAsia="Segoe UI" w:hAnsi="Times New Roman" w:cs="Times New Roman"/>
                <w:bCs/>
                <w:color w:val="0F1115"/>
                <w:sz w:val="15"/>
                <w:szCs w:val="15"/>
                <w:shd w:val="clear" w:color="auto" w:fill="FFFFFF"/>
              </w:rPr>
              <w:t>a) Other populations:</w:t>
            </w:r>
            <w:r>
              <w:rPr>
                <w:rFonts w:ascii="Times New Roman" w:eastAsia="Segoe UI" w:hAnsi="Times New Roman" w:cs="Times New Roman"/>
                <w:color w:val="0F1115"/>
                <w:sz w:val="15"/>
                <w:szCs w:val="15"/>
                <w:shd w:val="clear" w:color="auto" w:fill="FFFFFF"/>
              </w:rPr>
              <w:t> Explicitly discussed as a limitation. “Future research should expand sample populations to include diverse ethnic groups...” (Conclusion, p.18).</w:t>
            </w:r>
            <w:r>
              <w:rPr>
                <w:rFonts w:ascii="Times New Roman" w:eastAsia="Segoe UI" w:hAnsi="Times New Roman" w:cs="Times New Roman"/>
                <w:color w:val="0F1115"/>
                <w:sz w:val="15"/>
                <w:szCs w:val="15"/>
                <w:shd w:val="clear" w:color="auto" w:fill="FFFFFF"/>
              </w:rPr>
              <w:br/>
            </w:r>
            <w:r>
              <w:rPr>
                <w:rStyle w:val="Pogrubienie"/>
                <w:rFonts w:ascii="Times New Roman" w:eastAsia="Segoe UI" w:hAnsi="Times New Roman" w:cs="Times New Roman"/>
                <w:bCs/>
                <w:color w:val="0F1115"/>
                <w:sz w:val="15"/>
                <w:szCs w:val="15"/>
                <w:shd w:val="clear" w:color="auto" w:fill="FFFFFF"/>
              </w:rPr>
              <w:t>(b) Exposure periods/timings and (c) other exposure levels:</w:t>
            </w:r>
            <w:r>
              <w:rPr>
                <w:rFonts w:ascii="Times New Roman" w:eastAsia="Segoe UI" w:hAnsi="Times New Roman" w:cs="Times New Roman"/>
                <w:color w:val="0F1115"/>
                <w:sz w:val="15"/>
                <w:szCs w:val="15"/>
                <w:shd w:val="clear" w:color="auto" w:fill="FFFFFF"/>
              </w:rPr>
              <w:t> Not specifically discussed. Genetic instruments represent lifelong predisposition.</w:t>
            </w:r>
          </w:p>
        </w:tc>
      </w:tr>
      <w:tr w:rsidR="00EE797D" w14:paraId="644AC1C6" w14:textId="77777777">
        <w:tc>
          <w:tcPr>
            <w:tcW w:w="587" w:type="dxa"/>
            <w:tcBorders>
              <w:top w:val="single" w:sz="6" w:space="0" w:color="7F7F7F"/>
            </w:tcBorders>
          </w:tcPr>
          <w:p w14:paraId="644AC1C1" w14:textId="77777777" w:rsidR="00EE797D" w:rsidRDefault="00EE797D">
            <w:pPr>
              <w:spacing w:beforeLines="40" w:before="96" w:afterLines="40" w:after="96" w:line="24" w:lineRule="atLeast"/>
              <w:rPr>
                <w:rFonts w:ascii="Times New Roman" w:eastAsia="Times New Roman" w:hAnsi="Times New Roman" w:cs="Times New Roman"/>
                <w:b/>
                <w:bCs/>
                <w:sz w:val="18"/>
                <w:szCs w:val="18"/>
                <w:lang w:val="en-GB" w:eastAsia="en-GB"/>
              </w:rPr>
            </w:pPr>
          </w:p>
        </w:tc>
        <w:tc>
          <w:tcPr>
            <w:tcW w:w="1822" w:type="dxa"/>
            <w:tcBorders>
              <w:top w:val="single" w:sz="6" w:space="0" w:color="7F7F7F"/>
            </w:tcBorders>
          </w:tcPr>
          <w:p w14:paraId="644AC1C2"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b/>
                <w:bCs/>
                <w:sz w:val="18"/>
                <w:szCs w:val="18"/>
                <w:lang w:val="en-GB" w:eastAsia="en-GB"/>
              </w:rPr>
              <w:t>OTHER INFORMATION</w:t>
            </w:r>
          </w:p>
        </w:tc>
        <w:tc>
          <w:tcPr>
            <w:tcW w:w="5226" w:type="dxa"/>
            <w:tcBorders>
              <w:top w:val="single" w:sz="6" w:space="0" w:color="7F7F7F"/>
            </w:tcBorders>
          </w:tcPr>
          <w:p w14:paraId="644AC1C3" w14:textId="77777777" w:rsidR="00EE797D" w:rsidRDefault="00EE797D">
            <w:pPr>
              <w:spacing w:beforeLines="40" w:before="96" w:afterLines="40" w:after="96" w:line="24" w:lineRule="atLeast"/>
              <w:rPr>
                <w:rFonts w:ascii="Times New Roman" w:eastAsia="Cambria" w:hAnsi="Times New Roman" w:cs="Times New Roman"/>
                <w:sz w:val="18"/>
                <w:szCs w:val="18"/>
                <w:lang w:val="en-GB" w:eastAsia="en-US"/>
              </w:rPr>
            </w:pPr>
          </w:p>
        </w:tc>
        <w:tc>
          <w:tcPr>
            <w:tcW w:w="746" w:type="dxa"/>
            <w:tcBorders>
              <w:top w:val="single" w:sz="6" w:space="0" w:color="7F7F7F"/>
            </w:tcBorders>
          </w:tcPr>
          <w:p w14:paraId="644AC1C4" w14:textId="77777777" w:rsidR="00EE797D" w:rsidRDefault="00EE797D">
            <w:pPr>
              <w:spacing w:beforeLines="40" w:before="96" w:afterLines="40" w:after="96" w:line="24" w:lineRule="atLeast"/>
              <w:rPr>
                <w:rFonts w:ascii="Times New Roman" w:eastAsia="Cambria" w:hAnsi="Times New Roman" w:cs="Times New Roman"/>
                <w:sz w:val="18"/>
                <w:szCs w:val="18"/>
                <w:lang w:val="en-GB" w:eastAsia="en-US"/>
              </w:rPr>
            </w:pPr>
          </w:p>
        </w:tc>
        <w:tc>
          <w:tcPr>
            <w:tcW w:w="6109" w:type="dxa"/>
            <w:tcBorders>
              <w:top w:val="single" w:sz="6" w:space="0" w:color="7F7F7F"/>
            </w:tcBorders>
          </w:tcPr>
          <w:p w14:paraId="644AC1C5" w14:textId="77777777" w:rsidR="00EE797D" w:rsidRDefault="00EE797D">
            <w:pPr>
              <w:spacing w:beforeLines="40" w:before="96" w:afterLines="40" w:after="96" w:line="24" w:lineRule="atLeast"/>
              <w:rPr>
                <w:rFonts w:ascii="Times New Roman" w:eastAsia="Cambria" w:hAnsi="Times New Roman" w:cs="Times New Roman"/>
                <w:sz w:val="18"/>
                <w:szCs w:val="18"/>
                <w:lang w:val="en-GB" w:eastAsia="en-US"/>
              </w:rPr>
            </w:pPr>
          </w:p>
        </w:tc>
      </w:tr>
      <w:tr w:rsidR="00EE797D" w14:paraId="644AC1CC" w14:textId="77777777">
        <w:tc>
          <w:tcPr>
            <w:tcW w:w="587" w:type="dxa"/>
            <w:shd w:val="clear" w:color="auto" w:fill="EEEEEE"/>
          </w:tcPr>
          <w:p w14:paraId="644AC1C7" w14:textId="77777777" w:rsidR="00EE797D" w:rsidRDefault="00C0373C">
            <w:pPr>
              <w:spacing w:beforeLines="40" w:before="96" w:afterLines="40" w:after="96" w:line="24" w:lineRule="atLeast"/>
              <w:rPr>
                <w:rFonts w:ascii="Times New Roman" w:eastAsia="Times New Roman" w:hAnsi="Times New Roman" w:cs="Times New Roman"/>
                <w:b/>
                <w:bCs/>
                <w:sz w:val="18"/>
                <w:szCs w:val="18"/>
                <w:lang w:val="en-GB" w:eastAsia="en-GB"/>
              </w:rPr>
            </w:pPr>
            <w:r>
              <w:rPr>
                <w:rFonts w:ascii="Times New Roman" w:eastAsia="Times New Roman" w:hAnsi="Times New Roman" w:cs="Times New Roman"/>
                <w:sz w:val="18"/>
                <w:szCs w:val="18"/>
                <w:lang w:val="en-GB" w:eastAsia="en-GB"/>
              </w:rPr>
              <w:t>18</w:t>
            </w:r>
          </w:p>
        </w:tc>
        <w:tc>
          <w:tcPr>
            <w:tcW w:w="1822" w:type="dxa"/>
            <w:shd w:val="clear" w:color="auto" w:fill="EEEEEE"/>
          </w:tcPr>
          <w:p w14:paraId="644AC1C8" w14:textId="77777777" w:rsidR="00EE797D" w:rsidRDefault="00C0373C">
            <w:pPr>
              <w:spacing w:beforeLines="40" w:before="96" w:afterLines="40" w:after="96" w:line="24" w:lineRule="atLeast"/>
              <w:rPr>
                <w:rFonts w:ascii="Times New Roman" w:eastAsia="Cambria" w:hAnsi="Times New Roman" w:cs="Times New Roman"/>
                <w:sz w:val="18"/>
                <w:szCs w:val="18"/>
                <w:lang w:val="en-GB" w:eastAsia="en-US"/>
              </w:rPr>
            </w:pPr>
            <w:r>
              <w:rPr>
                <w:rFonts w:ascii="Times New Roman" w:eastAsia="Times New Roman" w:hAnsi="Times New Roman" w:cs="Times New Roman"/>
                <w:b/>
                <w:bCs/>
                <w:sz w:val="18"/>
                <w:szCs w:val="18"/>
                <w:lang w:val="en-GB" w:eastAsia="en-GB"/>
              </w:rPr>
              <w:t>Funding</w:t>
            </w:r>
          </w:p>
        </w:tc>
        <w:tc>
          <w:tcPr>
            <w:tcW w:w="5226" w:type="dxa"/>
            <w:shd w:val="clear" w:color="auto" w:fill="EEEEEE"/>
          </w:tcPr>
          <w:p w14:paraId="644AC1C9"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Describe sources of funding and the role of funders in the present study and, if applicable, sources of funding for the databases and original study or studies on which the present study is based</w:t>
            </w:r>
          </w:p>
        </w:tc>
        <w:tc>
          <w:tcPr>
            <w:tcW w:w="746" w:type="dxa"/>
            <w:shd w:val="clear" w:color="auto" w:fill="EEEEEE"/>
          </w:tcPr>
          <w:p w14:paraId="644AC1CA"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20</w:t>
            </w:r>
          </w:p>
        </w:tc>
        <w:tc>
          <w:tcPr>
            <w:tcW w:w="6109" w:type="dxa"/>
            <w:shd w:val="clear" w:color="auto" w:fill="EEEEEE"/>
          </w:tcPr>
          <w:p w14:paraId="644AC1CB"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Style w:val="Pogrubienie"/>
                <w:rFonts w:ascii="Times New Roman" w:eastAsia="Segoe UI" w:hAnsi="Times New Roman" w:cs="Times New Roman"/>
                <w:bCs/>
                <w:color w:val="0F1115"/>
                <w:sz w:val="15"/>
                <w:szCs w:val="15"/>
                <w:shd w:val="clear" w:color="auto" w:fill="FFFFFF"/>
              </w:rPr>
              <w:t>Funding:</w:t>
            </w:r>
            <w:r>
              <w:rPr>
                <w:rFonts w:ascii="Times New Roman" w:eastAsia="Segoe UI" w:hAnsi="Times New Roman" w:cs="Times New Roman"/>
                <w:color w:val="0F1115"/>
                <w:sz w:val="15"/>
                <w:szCs w:val="15"/>
                <w:shd w:val="clear" w:color="auto" w:fill="FFFFFF"/>
              </w:rPr>
              <w:t> “This study has received the funding by grants from the National Nature Science Foundation of China (8200184).” (p.20). Sources for original datasets are acknowledged via citations.</w:t>
            </w:r>
          </w:p>
        </w:tc>
      </w:tr>
      <w:tr w:rsidR="00EE797D" w14:paraId="644AC1D2" w14:textId="77777777">
        <w:tc>
          <w:tcPr>
            <w:tcW w:w="587" w:type="dxa"/>
          </w:tcPr>
          <w:p w14:paraId="644AC1CD" w14:textId="77777777" w:rsidR="00EE797D" w:rsidRDefault="00C0373C">
            <w:pPr>
              <w:spacing w:beforeLines="40" w:before="96" w:afterLines="40" w:after="96" w:line="24" w:lineRule="atLeast"/>
              <w:rPr>
                <w:rFonts w:ascii="Times New Roman" w:eastAsia="Times New Roman" w:hAnsi="Times New Roman" w:cs="Times New Roman"/>
                <w:b/>
                <w:bCs/>
                <w:sz w:val="18"/>
                <w:szCs w:val="18"/>
                <w:lang w:val="en-GB" w:eastAsia="en-GB"/>
              </w:rPr>
            </w:pPr>
            <w:r>
              <w:rPr>
                <w:rFonts w:ascii="Times New Roman" w:eastAsia="Times New Roman" w:hAnsi="Times New Roman" w:cs="Times New Roman"/>
                <w:sz w:val="18"/>
                <w:szCs w:val="18"/>
                <w:lang w:val="en-GB" w:eastAsia="en-GB"/>
              </w:rPr>
              <w:t>19</w:t>
            </w:r>
          </w:p>
        </w:tc>
        <w:tc>
          <w:tcPr>
            <w:tcW w:w="1822" w:type="dxa"/>
          </w:tcPr>
          <w:p w14:paraId="644AC1CE"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b/>
                <w:bCs/>
                <w:sz w:val="18"/>
                <w:szCs w:val="18"/>
                <w:lang w:val="en-GB" w:eastAsia="en-GB"/>
              </w:rPr>
              <w:t>Data and data sharing </w:t>
            </w:r>
          </w:p>
        </w:tc>
        <w:tc>
          <w:tcPr>
            <w:tcW w:w="5226" w:type="dxa"/>
          </w:tcPr>
          <w:p w14:paraId="644AC1CF"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Provide the data used to perform all analyses or report where and how the data can be accessed, and reference these sources in the article. Provide the statistical code needed to reproduce the results in the article, or report whether the code is publicly accessible and if so, where</w:t>
            </w:r>
          </w:p>
        </w:tc>
        <w:tc>
          <w:tcPr>
            <w:tcW w:w="746" w:type="dxa"/>
          </w:tcPr>
          <w:p w14:paraId="644AC1D0"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20</w:t>
            </w:r>
          </w:p>
        </w:tc>
        <w:tc>
          <w:tcPr>
            <w:tcW w:w="6109" w:type="dxa"/>
          </w:tcPr>
          <w:p w14:paraId="644AC1D1"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Style w:val="Pogrubienie"/>
                <w:rFonts w:ascii="Times New Roman" w:eastAsia="Segoe UI" w:hAnsi="Times New Roman" w:cs="Times New Roman"/>
                <w:bCs/>
                <w:color w:val="0F1115"/>
                <w:sz w:val="15"/>
                <w:szCs w:val="15"/>
                <w:shd w:val="clear" w:color="auto" w:fill="FFFFFF"/>
              </w:rPr>
              <w:t>Data Availability:</w:t>
            </w:r>
            <w:r>
              <w:rPr>
                <w:rFonts w:ascii="Times New Roman" w:eastAsia="Segoe UI" w:hAnsi="Times New Roman" w:cs="Times New Roman"/>
                <w:color w:val="0F1115"/>
                <w:sz w:val="15"/>
                <w:szCs w:val="15"/>
                <w:shd w:val="clear" w:color="auto" w:fill="FFFFFF"/>
              </w:rPr>
              <w:t> “All data sources used in this article have been explained in the article. Further inquiries can be directed to the corresponding author.” (p.20). Original public data sources are referenced (e.g., URLs/DOIs in Section 2.2 and Table 1). Code availability is not explicitly stated.</w:t>
            </w:r>
          </w:p>
        </w:tc>
      </w:tr>
      <w:tr w:rsidR="00EE797D" w14:paraId="644AC1D8" w14:textId="77777777">
        <w:tc>
          <w:tcPr>
            <w:tcW w:w="587" w:type="dxa"/>
            <w:tcBorders>
              <w:bottom w:val="single" w:sz="6" w:space="0" w:color="7F7F7F"/>
            </w:tcBorders>
            <w:shd w:val="clear" w:color="auto" w:fill="EEEEEE"/>
          </w:tcPr>
          <w:p w14:paraId="644AC1D3" w14:textId="77777777" w:rsidR="00EE797D" w:rsidRDefault="00C0373C">
            <w:pPr>
              <w:spacing w:beforeLines="40" w:before="96" w:afterLines="40" w:after="96" w:line="24" w:lineRule="atLeast"/>
              <w:rPr>
                <w:rFonts w:ascii="Times New Roman" w:eastAsia="Times New Roman" w:hAnsi="Times New Roman" w:cs="Times New Roman"/>
                <w:b/>
                <w:bCs/>
                <w:sz w:val="18"/>
                <w:szCs w:val="18"/>
                <w:lang w:val="en-GB" w:eastAsia="en-GB"/>
              </w:rPr>
            </w:pPr>
            <w:r>
              <w:rPr>
                <w:rFonts w:ascii="Times New Roman" w:eastAsia="Times New Roman" w:hAnsi="Times New Roman" w:cs="Times New Roman"/>
                <w:sz w:val="18"/>
                <w:szCs w:val="18"/>
                <w:lang w:val="en-GB" w:eastAsia="en-GB"/>
              </w:rPr>
              <w:t>20</w:t>
            </w:r>
          </w:p>
        </w:tc>
        <w:tc>
          <w:tcPr>
            <w:tcW w:w="1822" w:type="dxa"/>
            <w:tcBorders>
              <w:bottom w:val="single" w:sz="6" w:space="0" w:color="7F7F7F"/>
            </w:tcBorders>
            <w:shd w:val="clear" w:color="auto" w:fill="EEEEEE"/>
          </w:tcPr>
          <w:p w14:paraId="644AC1D4"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b/>
                <w:bCs/>
                <w:sz w:val="18"/>
                <w:szCs w:val="18"/>
                <w:lang w:val="en-GB" w:eastAsia="en-GB"/>
              </w:rPr>
              <w:t>Conflicts of Interest  </w:t>
            </w:r>
          </w:p>
        </w:tc>
        <w:tc>
          <w:tcPr>
            <w:tcW w:w="5226" w:type="dxa"/>
            <w:tcBorders>
              <w:bottom w:val="single" w:sz="6" w:space="0" w:color="7F7F7F"/>
            </w:tcBorders>
            <w:shd w:val="clear" w:color="auto" w:fill="EEEEEE"/>
          </w:tcPr>
          <w:p w14:paraId="644AC1D5"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All authors should declare all potential conflicts of interest</w:t>
            </w:r>
          </w:p>
        </w:tc>
        <w:tc>
          <w:tcPr>
            <w:tcW w:w="746" w:type="dxa"/>
            <w:tcBorders>
              <w:bottom w:val="single" w:sz="6" w:space="0" w:color="7F7F7F"/>
            </w:tcBorders>
            <w:shd w:val="clear" w:color="auto" w:fill="EEEEEE"/>
          </w:tcPr>
          <w:p w14:paraId="644AC1D6" w14:textId="77777777" w:rsidR="00EE797D" w:rsidRDefault="00C0373C">
            <w:pPr>
              <w:spacing w:beforeLines="40" w:before="96" w:afterLines="40" w:after="96" w:line="24" w:lineRule="atLeast"/>
              <w:rPr>
                <w:rFonts w:ascii="Times New Roman" w:eastAsia="SimSun" w:hAnsi="Times New Roman" w:cs="Times New Roman"/>
                <w:sz w:val="18"/>
                <w:szCs w:val="18"/>
                <w:lang w:val="en-US" w:eastAsia="zh-CN"/>
              </w:rPr>
            </w:pPr>
            <w:r>
              <w:rPr>
                <w:rFonts w:ascii="Times New Roman" w:eastAsia="SimSun" w:hAnsi="Times New Roman" w:cs="Times New Roman"/>
                <w:sz w:val="18"/>
                <w:szCs w:val="18"/>
                <w:lang w:val="en-US" w:eastAsia="zh-CN"/>
              </w:rPr>
              <w:t>19</w:t>
            </w:r>
          </w:p>
        </w:tc>
        <w:tc>
          <w:tcPr>
            <w:tcW w:w="6109" w:type="dxa"/>
            <w:tcBorders>
              <w:bottom w:val="single" w:sz="6" w:space="0" w:color="7F7F7F"/>
            </w:tcBorders>
            <w:shd w:val="clear" w:color="auto" w:fill="EEEEEE"/>
          </w:tcPr>
          <w:p w14:paraId="644AC1D7" w14:textId="77777777" w:rsidR="00EE797D" w:rsidRDefault="00C0373C">
            <w:pPr>
              <w:spacing w:beforeLines="40" w:before="96" w:afterLines="40" w:after="96" w:line="24" w:lineRule="atLeast"/>
              <w:rPr>
                <w:rFonts w:ascii="Times New Roman" w:eastAsia="Times New Roman" w:hAnsi="Times New Roman" w:cs="Times New Roman"/>
                <w:sz w:val="18"/>
                <w:szCs w:val="18"/>
                <w:lang w:val="en-GB" w:eastAsia="en-GB"/>
              </w:rPr>
            </w:pPr>
            <w:r>
              <w:rPr>
                <w:rStyle w:val="Pogrubienie"/>
                <w:rFonts w:ascii="Times New Roman" w:eastAsia="Segoe UI" w:hAnsi="Times New Roman" w:cs="Times New Roman"/>
                <w:bCs/>
                <w:color w:val="0F1115"/>
                <w:sz w:val="15"/>
                <w:szCs w:val="15"/>
                <w:shd w:val="clear" w:color="auto" w:fill="FFFFFF"/>
              </w:rPr>
              <w:t>Conflict of Interest:</w:t>
            </w:r>
            <w:r>
              <w:rPr>
                <w:rFonts w:ascii="Times New Roman" w:eastAsia="Segoe UI" w:hAnsi="Times New Roman" w:cs="Times New Roman"/>
                <w:color w:val="0F1115"/>
                <w:sz w:val="15"/>
                <w:szCs w:val="15"/>
                <w:shd w:val="clear" w:color="auto" w:fill="FFFFFF"/>
              </w:rPr>
              <w:t> “The authors declare that there is no conflict of interest.” (p.19).</w:t>
            </w:r>
          </w:p>
        </w:tc>
      </w:tr>
    </w:tbl>
    <w:p w14:paraId="644AC1D9" w14:textId="77777777" w:rsidR="00EE797D" w:rsidRDefault="00C0373C">
      <w:pPr>
        <w:spacing w:before="240" w:after="240"/>
        <w:rPr>
          <w:rFonts w:ascii="Times New Roman" w:hAnsi="Times New Roman" w:cs="Times New Roman"/>
          <w:sz w:val="19"/>
          <w:szCs w:val="19"/>
        </w:rPr>
      </w:pPr>
      <w:r>
        <w:rPr>
          <w:rFonts w:ascii="Times New Roman" w:hAnsi="Times New Roman" w:cs="Times New Roman"/>
          <w:sz w:val="19"/>
          <w:szCs w:val="19"/>
        </w:rPr>
        <w:t xml:space="preserve">This checklist is copyrighted by the Equator Network under the Creative Commons Attribution 3.0 </w:t>
      </w:r>
      <w:proofErr w:type="spellStart"/>
      <w:r>
        <w:rPr>
          <w:rFonts w:ascii="Times New Roman" w:hAnsi="Times New Roman" w:cs="Times New Roman"/>
          <w:sz w:val="19"/>
          <w:szCs w:val="19"/>
        </w:rPr>
        <w:t>Unported</w:t>
      </w:r>
      <w:proofErr w:type="spellEnd"/>
      <w:r>
        <w:rPr>
          <w:rFonts w:ascii="Times New Roman" w:hAnsi="Times New Roman" w:cs="Times New Roman"/>
          <w:sz w:val="19"/>
          <w:szCs w:val="19"/>
        </w:rPr>
        <w:t xml:space="preserve"> (CC BY 3.0) license.</w:t>
      </w:r>
    </w:p>
    <w:p w14:paraId="644AC1DA" w14:textId="77777777" w:rsidR="00EE797D" w:rsidRDefault="00C0373C">
      <w:pPr>
        <w:widowControl w:val="0"/>
        <w:autoSpaceDE w:val="0"/>
        <w:autoSpaceDN w:val="0"/>
        <w:adjustRightInd w:val="0"/>
        <w:spacing w:before="240" w:after="240" w:line="240" w:lineRule="auto"/>
        <w:ind w:left="640" w:hanging="640"/>
        <w:rPr>
          <w:rFonts w:ascii="Times New Roman" w:hAnsi="Times New Roman" w:cs="Times New Roman"/>
          <w:sz w:val="19"/>
          <w:szCs w:val="19"/>
        </w:rPr>
      </w:pPr>
      <w:r>
        <w:rPr>
          <w:rFonts w:ascii="Times New Roman" w:hAnsi="Times New Roman" w:cs="Times New Roman"/>
          <w:sz w:val="19"/>
          <w:szCs w:val="19"/>
        </w:rPr>
        <w:fldChar w:fldCharType="begin" w:fldLock="1"/>
      </w:r>
      <w:r>
        <w:rPr>
          <w:rFonts w:ascii="Times New Roman" w:hAnsi="Times New Roman" w:cs="Times New Roman"/>
          <w:sz w:val="19"/>
          <w:szCs w:val="19"/>
        </w:rPr>
        <w:instrText xml:space="preserve">ADDIN Mendeley Bibliography CSL_BIBLIOGRAPHY </w:instrText>
      </w:r>
      <w:r>
        <w:rPr>
          <w:rFonts w:ascii="Times New Roman" w:hAnsi="Times New Roman" w:cs="Times New Roman"/>
          <w:sz w:val="19"/>
          <w:szCs w:val="19"/>
        </w:rPr>
        <w:fldChar w:fldCharType="separate"/>
      </w:r>
      <w:r>
        <w:rPr>
          <w:rFonts w:ascii="Times New Roman" w:hAnsi="Times New Roman" w:cs="Times New Roman"/>
          <w:sz w:val="19"/>
          <w:szCs w:val="19"/>
        </w:rPr>
        <w:t xml:space="preserve">1. </w:t>
      </w:r>
      <w:r>
        <w:rPr>
          <w:rFonts w:ascii="Times New Roman" w:hAnsi="Times New Roman" w:cs="Times New Roman"/>
          <w:sz w:val="19"/>
          <w:szCs w:val="19"/>
        </w:rPr>
        <w:tab/>
        <w:t xml:space="preserve">Skrivankova VW, Richmond RC, Woolf BAR, Yarmolinsky J, Davies NM, Swanson SA, et al. Strengthening the Reporting of Observational Studies in Epidemiology using Mendelian Randomization (STROBE-MR) Statement. JAMA. 2021;under review. </w:t>
      </w:r>
    </w:p>
    <w:p w14:paraId="644AC1DB" w14:textId="77777777" w:rsidR="00EE797D" w:rsidRDefault="00C0373C">
      <w:pPr>
        <w:widowControl w:val="0"/>
        <w:autoSpaceDE w:val="0"/>
        <w:autoSpaceDN w:val="0"/>
        <w:adjustRightInd w:val="0"/>
        <w:spacing w:before="240" w:after="240" w:line="240" w:lineRule="auto"/>
        <w:ind w:left="640" w:hanging="640"/>
        <w:rPr>
          <w:rFonts w:ascii="Times New Roman" w:hAnsi="Times New Roman" w:cs="Times New Roman"/>
          <w:sz w:val="19"/>
          <w:szCs w:val="19"/>
        </w:rPr>
      </w:pPr>
      <w:r>
        <w:rPr>
          <w:rFonts w:ascii="Times New Roman" w:hAnsi="Times New Roman" w:cs="Times New Roman"/>
          <w:sz w:val="19"/>
          <w:szCs w:val="19"/>
        </w:rPr>
        <w:lastRenderedPageBreak/>
        <w:t xml:space="preserve">2. </w:t>
      </w:r>
      <w:r>
        <w:rPr>
          <w:rFonts w:ascii="Times New Roman" w:hAnsi="Times New Roman" w:cs="Times New Roman"/>
          <w:sz w:val="19"/>
          <w:szCs w:val="19"/>
        </w:rPr>
        <w:tab/>
        <w:t xml:space="preserve">Skrivankova VW, Richmond RC, Woolf BAR, Davies NM, Swanson SA, VanderWeele TJ, et al. Strengthening the Reporting of Observational Studies in Epidemiology using Mendelian Randomisation (STROBE-MR): Explanation and Elaboration. BMJ. 2021;375:n2233. </w:t>
      </w:r>
    </w:p>
    <w:p w14:paraId="644AC1DC" w14:textId="77777777" w:rsidR="00EE797D" w:rsidRDefault="00C0373C">
      <w:pPr>
        <w:spacing w:before="240" w:after="240"/>
      </w:pPr>
      <w:r>
        <w:rPr>
          <w:rFonts w:ascii="Times New Roman" w:hAnsi="Times New Roman" w:cs="Times New Roman"/>
          <w:sz w:val="19"/>
          <w:szCs w:val="19"/>
        </w:rPr>
        <w:fldChar w:fldCharType="end"/>
      </w:r>
    </w:p>
    <w:sectPr w:rsidR="00EE797D">
      <w:footerReference w:type="even" r:id="rId10"/>
      <w:footerReference w:type="default" r:id="rId11"/>
      <w:pgSz w:w="15840" w:h="12240" w:orient="landscape"/>
      <w:pgMar w:top="1008" w:right="720" w:bottom="1008" w:left="72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AC1DF" w14:textId="77777777" w:rsidR="00EE797D" w:rsidRDefault="00C0373C">
      <w:pPr>
        <w:spacing w:line="240" w:lineRule="auto"/>
      </w:pPr>
      <w:r>
        <w:separator/>
      </w:r>
    </w:p>
  </w:endnote>
  <w:endnote w:type="continuationSeparator" w:id="0">
    <w:p w14:paraId="644AC1E0" w14:textId="77777777" w:rsidR="00EE797D" w:rsidRDefault="00C037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default"/>
    <w:sig w:usb0="00000203" w:usb1="288F0000" w:usb2="00000006" w:usb3="00000000" w:csb0="0004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00"/>
    <w:family w:val="auto"/>
    <w:pitch w:val="default"/>
    <w:sig w:usb0="E4002EFF" w:usb1="C000E47F" w:usb2="00000009" w:usb3="00000000" w:csb0="2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C1E1" w14:textId="77777777" w:rsidR="00EE797D" w:rsidRDefault="00EE797D">
    <w:pPr>
      <w:pStyle w:val="Stopka"/>
      <w:framePr w:wrap="auto" w:vAnchor="text" w:hAnchor="margin" w:xAlign="right" w:y="1"/>
      <w:rPr>
        <w:rStyle w:val="Numerstrony"/>
      </w:rPr>
    </w:pPr>
  </w:p>
  <w:p w14:paraId="644AC1E2" w14:textId="77777777" w:rsidR="00EE797D" w:rsidRDefault="00EE797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C1E3" w14:textId="77777777" w:rsidR="00EE797D" w:rsidRDefault="00C0373C">
    <w:pPr>
      <w:pStyle w:val="Stopka"/>
      <w:jc w:val="right"/>
    </w:pPr>
    <w:r>
      <w:fldChar w:fldCharType="begin"/>
    </w:r>
    <w:r>
      <w:instrText xml:space="preserve"> PAGE   \* MERGEFORMAT </w:instrText>
    </w:r>
    <w:r>
      <w:fldChar w:fldCharType="separate"/>
    </w:r>
    <w:r>
      <w:rPr>
        <w:noProof/>
      </w:rPr>
      <w:t>2</w:t>
    </w:r>
    <w:r>
      <w:fldChar w:fldCharType="end"/>
    </w:r>
  </w:p>
  <w:p w14:paraId="644AC1E4" w14:textId="77777777" w:rsidR="00EE797D" w:rsidRDefault="00EE797D">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AC1DD" w14:textId="77777777" w:rsidR="00EE797D" w:rsidRDefault="00C0373C">
      <w:r>
        <w:separator/>
      </w:r>
    </w:p>
  </w:footnote>
  <w:footnote w:type="continuationSeparator" w:id="0">
    <w:p w14:paraId="644AC1DE" w14:textId="77777777" w:rsidR="00EE797D" w:rsidRDefault="00C0373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movePersonalInformation/>
  <w:removeDateAndTime/>
  <w:proofState w:spelling="clean"/>
  <w:defaultTabStop w:val="720"/>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C56"/>
    <w:rsid w:val="000A4CE8"/>
    <w:rsid w:val="002663E6"/>
    <w:rsid w:val="003D447D"/>
    <w:rsid w:val="003D47DD"/>
    <w:rsid w:val="004B5CBB"/>
    <w:rsid w:val="004E11D4"/>
    <w:rsid w:val="00514462"/>
    <w:rsid w:val="005520ED"/>
    <w:rsid w:val="005A0D0D"/>
    <w:rsid w:val="006402E7"/>
    <w:rsid w:val="0067509F"/>
    <w:rsid w:val="00685D31"/>
    <w:rsid w:val="006912BF"/>
    <w:rsid w:val="006A41D0"/>
    <w:rsid w:val="006B08D5"/>
    <w:rsid w:val="00804498"/>
    <w:rsid w:val="008D188A"/>
    <w:rsid w:val="00914C56"/>
    <w:rsid w:val="00950729"/>
    <w:rsid w:val="009854A9"/>
    <w:rsid w:val="009E033F"/>
    <w:rsid w:val="00BB6328"/>
    <w:rsid w:val="00C0373C"/>
    <w:rsid w:val="00D65199"/>
    <w:rsid w:val="00D8098C"/>
    <w:rsid w:val="00ED48A3"/>
    <w:rsid w:val="00EE797D"/>
    <w:rsid w:val="00EF4B94"/>
    <w:rsid w:val="1D901276"/>
    <w:rsid w:val="7F2B126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AC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l-PL" w:eastAsia="pl-PL"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pPr>
      <w:spacing w:line="276" w:lineRule="auto"/>
    </w:pPr>
    <w:rPr>
      <w:rFonts w:ascii="Arial" w:eastAsia="Arial" w:hAnsi="Arial" w:cs="Arial"/>
      <w:sz w:val="22"/>
      <w:szCs w:val="22"/>
      <w:lang w:val="en" w:eastAsia="de-CH"/>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unhideWhenUsed/>
    <w:pPr>
      <w:tabs>
        <w:tab w:val="center" w:pos="4680"/>
        <w:tab w:val="right" w:pos="9360"/>
      </w:tabs>
      <w:spacing w:line="240" w:lineRule="auto"/>
    </w:pPr>
  </w:style>
  <w:style w:type="character" w:styleId="Pogrubienie">
    <w:name w:val="Strong"/>
    <w:basedOn w:val="Domylnaczcionkaakapitu"/>
    <w:uiPriority w:val="22"/>
    <w:qFormat/>
    <w:rPr>
      <w:b/>
    </w:rPr>
  </w:style>
  <w:style w:type="character" w:styleId="Numerstrony">
    <w:name w:val="page number"/>
    <w:basedOn w:val="Domylnaczcionkaakapitu"/>
    <w:uiPriority w:val="99"/>
    <w:semiHidden/>
    <w:unhideWhenUsed/>
  </w:style>
  <w:style w:type="character" w:styleId="Numerwiersza">
    <w:name w:val="line number"/>
    <w:basedOn w:val="Domylnaczcionkaakapitu"/>
    <w:uiPriority w:val="99"/>
    <w:semiHidden/>
    <w:unhideWhenUsed/>
    <w:qFormat/>
  </w:style>
  <w:style w:type="character" w:customStyle="1" w:styleId="StopkaZnak">
    <w:name w:val="Stopka Znak"/>
    <w:basedOn w:val="Domylnaczcionkaakapitu"/>
    <w:link w:val="Stopka"/>
    <w:uiPriority w:val="99"/>
    <w:rPr>
      <w:rFonts w:ascii="Arial" w:eastAsia="Arial" w:hAnsi="Arial" w:cs="Arial"/>
      <w:lang w:val="en"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76252F6EC97BD48BFC15397CDF87BCA" ma:contentTypeVersion="14" ma:contentTypeDescription="Ein neues Dokument erstellen." ma:contentTypeScope="" ma:versionID="99bba3a2774fdba6befc8d470ad041a8">
  <xsd:schema xmlns:xsd="http://www.w3.org/2001/XMLSchema" xmlns:xs="http://www.w3.org/2001/XMLSchema" xmlns:p="http://schemas.microsoft.com/office/2006/metadata/properties" xmlns:ns3="892d8916-a04a-483c-b38c-baf9957a1c5f" xmlns:ns4="697eed72-5420-4f01-93c1-7c9f4310e871" targetNamespace="http://schemas.microsoft.com/office/2006/metadata/properties" ma:root="true" ma:fieldsID="08b8b0ba8c484102a3bbe13611225d97" ns3:_="" ns4:_="">
    <xsd:import namespace="892d8916-a04a-483c-b38c-baf9957a1c5f"/>
    <xsd:import namespace="697eed72-5420-4f01-93c1-7c9f4310e87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2d8916-a04a-483c-b38c-baf9957a1c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7eed72-5420-4f01-93c1-7c9f4310e871"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SharingHintHash" ma:index="20" nillable="true" ma:displayName="Freigabehinweis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B0931C-FCE2-4CC4-80DE-15614B41F1F9}">
  <ds:schemaRefs/>
</ds:datastoreItem>
</file>

<file path=customXml/itemProps2.xml><?xml version="1.0" encoding="utf-8"?>
<ds:datastoreItem xmlns:ds="http://schemas.openxmlformats.org/officeDocument/2006/customXml" ds:itemID="{A9898B61-61B7-44F1-9388-8B27875B1EDA}">
  <ds:schemaRefs/>
</ds:datastoreItem>
</file>

<file path=customXml/itemProps3.xml><?xml version="1.0" encoding="utf-8"?>
<ds:datastoreItem xmlns:ds="http://schemas.openxmlformats.org/officeDocument/2006/customXml" ds:itemID="{5DF20111-77FD-4F18-8E31-D737874646AB}">
  <ds:schemaRefs/>
</ds:datastoreItem>
</file>

<file path=customXml/itemProps4.xml><?xml version="1.0" encoding="utf-8"?>
<ds:datastoreItem xmlns:ds="http://schemas.openxmlformats.org/officeDocument/2006/customXml" ds:itemID="{803D09FC-6E3E-43C0-9FEA-3F636F743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3630</Words>
  <Characters>21782</Characters>
  <Application>Microsoft Office Word</Application>
  <DocSecurity>0</DocSecurity>
  <Lines>181</Lines>
  <Paragraphs>50</Paragraphs>
  <ScaleCrop>false</ScaleCrop>
  <Manager/>
  <Company/>
  <LinksUpToDate>false</LinksUpToDate>
  <CharactersWithSpaces>25362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2021-09-28T07:08:00Z</cp:lastPrinted>
  <dcterms:created xsi:type="dcterms:W3CDTF">2026-06-02T10:42:00Z</dcterms:created>
  <dcterms:modified xsi:type="dcterms:W3CDTF">2026-06-02T10:42:00Z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0x010100D76252F6EC97BD48BFC15397CDF87BCA</vt:lpwstr>
  </property>
  <property fmtid="{D5CDD505-2E9C-101B-9397-08002B2CF9AE}" pid="3" name="Mendeley Document_1">
    <vt:lpwstr>True</vt:lpwstr>
  </property>
  <property fmtid="{D5CDD505-2E9C-101B-9397-08002B2CF9AE}" pid="4" name="Mendeley Unique User Id_1">
    <vt:lpwstr>54eed440-5ecd-3ecc-9960-859334ccb0da</vt:lpwstr>
  </property>
  <property fmtid="{D5CDD505-2E9C-101B-9397-08002B2CF9AE}" pid="5" name="Mendeley Citation Style_1">
    <vt:lpwstr>http://www.zotero.org/styles/vancouver-superscript</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6th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17th edition (author-date)</vt:lpwstr>
  </property>
  <property fmtid="{D5CDD505-2E9C-101B-9397-08002B2CF9AE}" pid="16" name="Mendeley Recent Style Id 5_1">
    <vt:lpwstr>http://www.zotero.org/styles/harvard-cite-them-right</vt:lpwstr>
  </property>
  <property fmtid="{D5CDD505-2E9C-101B-9397-08002B2CF9AE}" pid="17" name="Mendeley Recent Style Name 5_1">
    <vt:lpwstr>Cite Them Right 10th edition - Harvard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http://www.zotero.org/styles/vancouver-imperial-college-london</vt:lpwstr>
  </property>
  <property fmtid="{D5CDD505-2E9C-101B-9397-08002B2CF9AE}" pid="21" name="Mendeley Recent Style Name 7_1">
    <vt:lpwstr>Imperial College London - Vancouver</vt:lpwstr>
  </property>
  <property fmtid="{D5CDD505-2E9C-101B-9397-08002B2CF9AE}" pid="22" name="Mendeley Recent Style Id 8_1">
    <vt:lpwstr>http://www.zotero.org/styles/vancouver</vt:lpwstr>
  </property>
  <property fmtid="{D5CDD505-2E9C-101B-9397-08002B2CF9AE}" pid="23" name="Mendeley Recent Style Name 8_1">
    <vt:lpwstr>Vancouver</vt:lpwstr>
  </property>
  <property fmtid="{D5CDD505-2E9C-101B-9397-08002B2CF9AE}" pid="24" name="Mendeley Recent Style Id 9_1">
    <vt:lpwstr>http://www.zotero.org/styles/vancouver-superscript</vt:lpwstr>
  </property>
  <property fmtid="{D5CDD505-2E9C-101B-9397-08002B2CF9AE}" pid="25" name="Mendeley Recent Style Name 9_1">
    <vt:lpwstr>Vancouver (superscript)</vt:lpwstr>
  </property>
  <property fmtid="{D5CDD505-2E9C-101B-9397-08002B2CF9AE}" pid="26" name="KSOTemplateDocerSaveRecord">
    <vt:lpwstr>eyJoZGlkIjoiMTdlNDZlYjYwM2VmOTZhZTY5ZmQ2YjE4MGIyNGIzZjYiLCJ1c2VySWQiOiI2ODY0NDEyMjYifQ==</vt:lpwstr>
  </property>
  <property fmtid="{D5CDD505-2E9C-101B-9397-08002B2CF9AE}" pid="27" name="KSOProductBuildVer">
    <vt:lpwstr>2052-12.1.0.24657</vt:lpwstr>
  </property>
  <property fmtid="{D5CDD505-2E9C-101B-9397-08002B2CF9AE}" pid="28" name="ICV">
    <vt:lpwstr>A9E5BD6BEB60489FBECC8993117B409E_12</vt:lpwstr>
  </property>
</Properties>
</file>